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21"/>
        </w:tabs>
        <w:ind w:right="-208" w:rightChars="-99"/>
        <w:jc w:val="center"/>
        <w:rPr>
          <w:rFonts w:ascii="宋体" w:hAnsi="宋体" w:cs="宋体"/>
          <w:b/>
          <w:sz w:val="24"/>
        </w:rPr>
      </w:pPr>
    </w:p>
    <w:p>
      <w:pPr>
        <w:tabs>
          <w:tab w:val="center" w:pos="4621"/>
        </w:tabs>
        <w:ind w:right="-208" w:rightChars="-99"/>
        <w:jc w:val="center"/>
        <w:rPr>
          <w:rFonts w:ascii="宋体" w:hAnsi="宋体" w:cs="宋体"/>
          <w:b/>
          <w:sz w:val="24"/>
        </w:rPr>
      </w:pPr>
    </w:p>
    <w:p>
      <w:pPr>
        <w:pStyle w:val="24"/>
        <w:ind w:firstLine="420"/>
      </w:pPr>
    </w:p>
    <w:p>
      <w:pPr>
        <w:pStyle w:val="24"/>
        <w:ind w:firstLine="420"/>
      </w:pPr>
    </w:p>
    <w:p>
      <w:pPr>
        <w:tabs>
          <w:tab w:val="center" w:pos="4621"/>
        </w:tabs>
        <w:jc w:val="center"/>
        <w:rPr>
          <w:rFonts w:ascii="宋体" w:hAnsi="宋体" w:cs="宋体"/>
          <w:b/>
          <w:sz w:val="60"/>
          <w:szCs w:val="60"/>
        </w:rPr>
      </w:pPr>
    </w:p>
    <w:p>
      <w:pPr>
        <w:tabs>
          <w:tab w:val="center" w:pos="4621"/>
        </w:tabs>
        <w:jc w:val="center"/>
        <w:rPr>
          <w:rFonts w:ascii="黑体" w:hAnsi="黑体" w:eastAsia="黑体" w:cs="宋体"/>
          <w:b/>
          <w:sz w:val="72"/>
          <w:szCs w:val="72"/>
        </w:rPr>
      </w:pPr>
      <w:r>
        <w:rPr>
          <w:rFonts w:hint="eastAsia" w:ascii="黑体" w:hAnsi="黑体" w:eastAsia="黑体" w:cs="宋体"/>
          <w:b/>
          <w:sz w:val="72"/>
          <w:szCs w:val="72"/>
        </w:rPr>
        <w:t>竞 争 性 磋 商 文 件</w:t>
      </w:r>
    </w:p>
    <w:p>
      <w:pPr>
        <w:spacing w:line="760" w:lineRule="exact"/>
        <w:ind w:firstLine="361" w:firstLineChars="100"/>
        <w:rPr>
          <w:rFonts w:ascii="黑体" w:hAnsi="黑体" w:eastAsia="黑体"/>
          <w:b/>
          <w:sz w:val="36"/>
          <w:szCs w:val="36"/>
        </w:rPr>
      </w:pPr>
    </w:p>
    <w:p>
      <w:pPr>
        <w:spacing w:line="760" w:lineRule="exact"/>
        <w:ind w:firstLine="361" w:firstLineChars="100"/>
        <w:rPr>
          <w:rFonts w:ascii="黑体" w:hAnsi="黑体" w:eastAsia="黑体"/>
          <w:b/>
          <w:sz w:val="36"/>
          <w:szCs w:val="36"/>
        </w:rPr>
      </w:pPr>
    </w:p>
    <w:p>
      <w:pPr>
        <w:pStyle w:val="24"/>
        <w:ind w:firstLine="420"/>
      </w:pPr>
    </w:p>
    <w:p>
      <w:pPr>
        <w:spacing w:line="760" w:lineRule="exact"/>
        <w:ind w:firstLine="361" w:firstLineChars="100"/>
        <w:rPr>
          <w:rFonts w:ascii="黑体" w:hAnsi="黑体" w:eastAsia="黑体"/>
          <w:b/>
          <w:sz w:val="36"/>
          <w:szCs w:val="36"/>
        </w:rPr>
      </w:pPr>
    </w:p>
    <w:p>
      <w:pPr>
        <w:spacing w:line="760" w:lineRule="exact"/>
        <w:ind w:left="2495" w:leftChars="336" w:hanging="1789" w:hangingChars="495"/>
        <w:rPr>
          <w:rFonts w:ascii="黑体" w:hAnsi="黑体" w:eastAsia="黑体"/>
          <w:b/>
          <w:sz w:val="36"/>
        </w:rPr>
      </w:pPr>
      <w:r>
        <w:rPr>
          <w:rFonts w:hint="eastAsia" w:ascii="黑体" w:hAnsi="黑体" w:eastAsia="黑体"/>
          <w:b/>
          <w:sz w:val="36"/>
          <w:szCs w:val="36"/>
        </w:rPr>
        <w:t>项目名称:</w:t>
      </w:r>
      <w:r>
        <w:rPr>
          <w:rFonts w:hint="eastAsia"/>
        </w:rPr>
        <w:t xml:space="preserve"> </w:t>
      </w:r>
      <w:r>
        <w:rPr>
          <w:rFonts w:hint="eastAsia" w:ascii="黑体" w:hAnsi="黑体" w:eastAsia="黑体"/>
          <w:b/>
          <w:sz w:val="36"/>
        </w:rPr>
        <w:t>淮阴师范学院生物化学、生物物理实验室建设项目</w:t>
      </w:r>
    </w:p>
    <w:p>
      <w:pPr>
        <w:spacing w:line="760" w:lineRule="exact"/>
        <w:ind w:firstLine="181" w:firstLineChars="50"/>
        <w:rPr>
          <w:rFonts w:ascii="黑体" w:hAnsi="黑体" w:eastAsia="黑体"/>
          <w:b/>
          <w:sz w:val="36"/>
        </w:rPr>
      </w:pPr>
    </w:p>
    <w:p>
      <w:pPr>
        <w:spacing w:line="760" w:lineRule="exact"/>
        <w:ind w:firstLine="181" w:firstLineChars="50"/>
        <w:rPr>
          <w:rFonts w:ascii="黑体" w:hAnsi="黑体" w:eastAsia="黑体" w:cs="宋体"/>
          <w:b/>
          <w:bCs/>
          <w:sz w:val="30"/>
          <w:szCs w:val="30"/>
        </w:rPr>
      </w:pPr>
      <w:r>
        <w:rPr>
          <w:rFonts w:hint="eastAsia" w:ascii="黑体" w:hAnsi="黑体" w:eastAsia="黑体"/>
          <w:b/>
          <w:sz w:val="36"/>
        </w:rPr>
        <w:t xml:space="preserve">   项目编号: HNU2020007</w:t>
      </w:r>
    </w:p>
    <w:p>
      <w:pPr>
        <w:rPr>
          <w:rFonts w:ascii="黑体" w:hAnsi="黑体" w:eastAsia="黑体" w:cs="宋体"/>
          <w:sz w:val="36"/>
          <w:szCs w:val="36"/>
        </w:rPr>
      </w:pPr>
    </w:p>
    <w:p>
      <w:pPr>
        <w:rPr>
          <w:rFonts w:ascii="黑体" w:hAnsi="黑体" w:eastAsia="黑体" w:cs="宋体"/>
          <w:sz w:val="28"/>
        </w:rPr>
      </w:pPr>
    </w:p>
    <w:p>
      <w:pPr>
        <w:spacing w:line="360" w:lineRule="auto"/>
        <w:rPr>
          <w:rFonts w:ascii="黑体" w:hAnsi="黑体" w:eastAsia="黑体" w:cs="宋体"/>
          <w:b/>
          <w:bCs/>
          <w:sz w:val="32"/>
        </w:rPr>
      </w:pPr>
    </w:p>
    <w:p>
      <w:pPr>
        <w:spacing w:line="360" w:lineRule="auto"/>
        <w:ind w:firstLine="790" w:firstLineChars="246"/>
        <w:rPr>
          <w:rFonts w:ascii="黑体" w:hAnsi="黑体" w:eastAsia="黑体" w:cs="宋体"/>
          <w:b/>
          <w:bCs/>
          <w:sz w:val="32"/>
        </w:rPr>
      </w:pPr>
    </w:p>
    <w:p>
      <w:pPr>
        <w:spacing w:line="360" w:lineRule="auto"/>
        <w:rPr>
          <w:rFonts w:ascii="黑体" w:hAnsi="黑体" w:eastAsia="黑体" w:cs="宋体"/>
          <w:b/>
          <w:bCs/>
          <w:sz w:val="32"/>
        </w:rPr>
      </w:pPr>
    </w:p>
    <w:p>
      <w:pPr>
        <w:spacing w:before="159" w:beforeLines="50" w:after="159" w:afterLines="50" w:line="520" w:lineRule="exact"/>
        <w:jc w:val="center"/>
        <w:rPr>
          <w:rFonts w:ascii="黑体" w:hAnsi="黑体" w:eastAsia="黑体" w:cs="宋体"/>
          <w:b/>
          <w:sz w:val="36"/>
          <w:szCs w:val="36"/>
          <w:u w:val="single"/>
        </w:rPr>
      </w:pPr>
      <w:r>
        <w:rPr>
          <w:rFonts w:hint="eastAsia" w:ascii="黑体" w:hAnsi="黑体" w:eastAsia="黑体" w:cs="宋体"/>
          <w:b/>
          <w:sz w:val="36"/>
          <w:szCs w:val="36"/>
        </w:rPr>
        <w:t>淮阴师范学院招投标办公室</w:t>
      </w:r>
    </w:p>
    <w:p>
      <w:pPr>
        <w:spacing w:before="159" w:beforeLines="50" w:after="159" w:afterLines="50"/>
        <w:jc w:val="center"/>
        <w:rPr>
          <w:rFonts w:ascii="黑体" w:hAnsi="黑体" w:eastAsia="黑体" w:cs="宋体"/>
          <w:sz w:val="36"/>
          <w:szCs w:val="36"/>
        </w:rPr>
      </w:pPr>
      <w:r>
        <w:rPr>
          <w:rFonts w:hint="eastAsia" w:ascii="黑体" w:hAnsi="黑体" w:eastAsia="黑体" w:cs="宋体"/>
          <w:b/>
          <w:bCs/>
          <w:sz w:val="36"/>
          <w:szCs w:val="36"/>
        </w:rPr>
        <w:t>2020年1月</w:t>
      </w:r>
      <w:r>
        <w:rPr>
          <w:rFonts w:hint="eastAsia" w:ascii="黑体" w:hAnsi="黑体" w:eastAsia="黑体" w:cs="宋体"/>
          <w:b/>
          <w:bCs/>
          <w:sz w:val="36"/>
          <w:szCs w:val="36"/>
          <w:lang w:val="en-US" w:eastAsia="zh-CN"/>
        </w:rPr>
        <w:t>20</w:t>
      </w:r>
      <w:r>
        <w:rPr>
          <w:rFonts w:hint="eastAsia" w:ascii="黑体" w:hAnsi="黑体" w:eastAsia="黑体" w:cs="宋体"/>
          <w:b/>
          <w:bCs/>
          <w:sz w:val="36"/>
          <w:szCs w:val="36"/>
        </w:rPr>
        <w:t>日</w:t>
      </w:r>
    </w:p>
    <w:p>
      <w:pPr>
        <w:pStyle w:val="17"/>
        <w:adjustRightInd w:val="0"/>
        <w:snapToGrid w:val="0"/>
        <w:spacing w:before="319" w:beforeLines="100" w:after="319" w:afterLines="100" w:line="600" w:lineRule="exact"/>
        <w:ind w:firstLine="0"/>
        <w:jc w:val="center"/>
        <w:outlineLvl w:val="0"/>
        <w:rPr>
          <w:rFonts w:cs="宋体" w:asciiTheme="minorEastAsia" w:hAnsiTheme="minorEastAsia" w:eastAsiaTheme="minorEastAsia"/>
          <w:b/>
          <w:bCs/>
          <w:sz w:val="36"/>
        </w:rPr>
      </w:pPr>
      <w:r>
        <w:rPr>
          <w:rFonts w:hint="eastAsia" w:cs="宋体" w:asciiTheme="minorEastAsia" w:hAnsiTheme="minorEastAsia" w:eastAsiaTheme="minorEastAsia"/>
          <w:b/>
          <w:bCs/>
          <w:sz w:val="36"/>
        </w:rPr>
        <w:t>目    录</w:t>
      </w:r>
    </w:p>
    <w:p>
      <w:pPr>
        <w:pStyle w:val="16"/>
        <w:tabs>
          <w:tab w:val="right" w:leader="dot" w:pos="9060"/>
        </w:tabs>
        <w:adjustRightInd w:val="0"/>
        <w:snapToGrid w:val="0"/>
        <w:spacing w:after="0" w:line="720" w:lineRule="auto"/>
        <w:rPr>
          <w:rFonts w:ascii="宋体" w:hAnsi="宋体" w:eastAsia="宋体"/>
          <w:kern w:val="2"/>
          <w:sz w:val="24"/>
          <w:szCs w:val="24"/>
        </w:rPr>
      </w:pPr>
      <w:r>
        <w:rPr>
          <w:rFonts w:cs="宋体" w:asciiTheme="minorEastAsia" w:hAnsiTheme="minorEastAsia"/>
          <w:sz w:val="28"/>
          <w:szCs w:val="28"/>
        </w:rPr>
        <w:fldChar w:fldCharType="begin"/>
      </w:r>
      <w:r>
        <w:rPr>
          <w:rFonts w:cs="宋体" w:asciiTheme="minorEastAsia" w:hAnsiTheme="minorEastAsia"/>
          <w:sz w:val="28"/>
          <w:szCs w:val="28"/>
        </w:rPr>
        <w:instrText xml:space="preserve"> TOC \o "1-3" \h \z \u </w:instrText>
      </w:r>
      <w:r>
        <w:rPr>
          <w:rFonts w:cs="宋体" w:asciiTheme="minorEastAsia" w:hAnsiTheme="minorEastAsia"/>
          <w:sz w:val="28"/>
          <w:szCs w:val="28"/>
        </w:rPr>
        <w:fldChar w:fldCharType="separate"/>
      </w:r>
      <w:r>
        <w:fldChar w:fldCharType="begin"/>
      </w:r>
      <w:r>
        <w:instrText xml:space="preserve"> HYPERLINK \l "_Toc27660562" </w:instrText>
      </w:r>
      <w:r>
        <w:fldChar w:fldCharType="separate"/>
      </w:r>
      <w:r>
        <w:rPr>
          <w:rStyle w:val="23"/>
          <w:rFonts w:hint="eastAsia" w:ascii="宋体" w:hAnsi="宋体" w:eastAsia="宋体" w:cs="宋体"/>
          <w:bCs/>
          <w:sz w:val="24"/>
          <w:szCs w:val="24"/>
        </w:rPr>
        <w:t>第一章</w:t>
      </w:r>
      <w:r>
        <w:rPr>
          <w:rStyle w:val="23"/>
          <w:rFonts w:ascii="宋体" w:hAnsi="宋体" w:eastAsia="宋体" w:cs="宋体"/>
          <w:bCs/>
          <w:sz w:val="24"/>
          <w:szCs w:val="24"/>
        </w:rPr>
        <w:t xml:space="preserve">  </w:t>
      </w:r>
      <w:r>
        <w:rPr>
          <w:rStyle w:val="23"/>
          <w:rFonts w:hint="eastAsia" w:ascii="宋体" w:hAnsi="宋体" w:eastAsia="宋体" w:cs="宋体"/>
          <w:bCs/>
          <w:sz w:val="24"/>
          <w:szCs w:val="24"/>
        </w:rPr>
        <w:t>磋商邀请</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_Toc27660562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16"/>
        <w:tabs>
          <w:tab w:val="right" w:leader="dot" w:pos="9060"/>
        </w:tabs>
        <w:adjustRightInd w:val="0"/>
        <w:snapToGrid w:val="0"/>
        <w:spacing w:after="0" w:line="720" w:lineRule="auto"/>
        <w:rPr>
          <w:rFonts w:ascii="宋体" w:hAnsi="宋体" w:eastAsia="宋体"/>
          <w:kern w:val="2"/>
          <w:sz w:val="24"/>
          <w:szCs w:val="24"/>
        </w:rPr>
      </w:pPr>
      <w:r>
        <w:fldChar w:fldCharType="begin"/>
      </w:r>
      <w:r>
        <w:instrText xml:space="preserve"> HYPERLINK \l "_Toc27660563" </w:instrText>
      </w:r>
      <w:r>
        <w:fldChar w:fldCharType="separate"/>
      </w:r>
      <w:r>
        <w:rPr>
          <w:rStyle w:val="23"/>
          <w:rFonts w:hint="eastAsia" w:ascii="宋体" w:hAnsi="宋体" w:eastAsia="宋体" w:cs="宋体"/>
          <w:bCs/>
          <w:sz w:val="24"/>
          <w:szCs w:val="24"/>
        </w:rPr>
        <w:t>第二章</w:t>
      </w:r>
      <w:r>
        <w:rPr>
          <w:rStyle w:val="23"/>
          <w:rFonts w:ascii="宋体" w:hAnsi="宋体" w:eastAsia="宋体" w:cs="宋体"/>
          <w:bCs/>
          <w:sz w:val="24"/>
          <w:szCs w:val="24"/>
        </w:rPr>
        <w:t xml:space="preserve">  </w:t>
      </w:r>
      <w:r>
        <w:rPr>
          <w:rStyle w:val="23"/>
          <w:rFonts w:hint="eastAsia" w:ascii="宋体" w:hAnsi="宋体" w:eastAsia="宋体" w:cs="宋体"/>
          <w:bCs/>
          <w:sz w:val="24"/>
          <w:szCs w:val="24"/>
        </w:rPr>
        <w:t>供应商须知</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_Toc27660563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16"/>
        <w:tabs>
          <w:tab w:val="right" w:leader="dot" w:pos="9060"/>
        </w:tabs>
        <w:adjustRightInd w:val="0"/>
        <w:snapToGrid w:val="0"/>
        <w:spacing w:after="0" w:line="720" w:lineRule="auto"/>
        <w:rPr>
          <w:rFonts w:ascii="宋体" w:hAnsi="宋体" w:eastAsia="宋体"/>
          <w:kern w:val="2"/>
          <w:sz w:val="24"/>
          <w:szCs w:val="24"/>
        </w:rPr>
      </w:pPr>
      <w:r>
        <w:fldChar w:fldCharType="begin"/>
      </w:r>
      <w:r>
        <w:instrText xml:space="preserve"> HYPERLINK \l "_Toc27660564" </w:instrText>
      </w:r>
      <w:r>
        <w:fldChar w:fldCharType="separate"/>
      </w:r>
      <w:r>
        <w:rPr>
          <w:rStyle w:val="23"/>
          <w:rFonts w:hint="eastAsia" w:ascii="宋体" w:hAnsi="宋体" w:eastAsia="宋体" w:cs="宋体"/>
          <w:bCs/>
          <w:sz w:val="24"/>
          <w:szCs w:val="24"/>
        </w:rPr>
        <w:t>第三章</w:t>
      </w:r>
      <w:r>
        <w:rPr>
          <w:rStyle w:val="23"/>
          <w:rFonts w:ascii="宋体" w:hAnsi="宋体" w:eastAsia="宋体" w:cs="宋体"/>
          <w:bCs/>
          <w:sz w:val="24"/>
          <w:szCs w:val="24"/>
        </w:rPr>
        <w:t xml:space="preserve">  </w:t>
      </w:r>
      <w:r>
        <w:rPr>
          <w:rStyle w:val="23"/>
          <w:rFonts w:hint="eastAsia" w:ascii="宋体" w:hAnsi="宋体" w:eastAsia="宋体" w:cs="宋体"/>
          <w:bCs/>
          <w:sz w:val="24"/>
          <w:szCs w:val="24"/>
        </w:rPr>
        <w:t>评审标准</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_Toc27660564 \h </w:instrText>
      </w:r>
      <w:r>
        <w:rPr>
          <w:rFonts w:ascii="宋体" w:hAnsi="宋体" w:eastAsia="宋体"/>
          <w:sz w:val="24"/>
          <w:szCs w:val="24"/>
        </w:rPr>
        <w:fldChar w:fldCharType="separate"/>
      </w:r>
      <w:r>
        <w:rPr>
          <w:rFonts w:ascii="宋体" w:hAnsi="宋体" w:eastAsia="宋体"/>
          <w:sz w:val="24"/>
          <w:szCs w:val="24"/>
        </w:rPr>
        <w:t>17</w:t>
      </w:r>
      <w:r>
        <w:rPr>
          <w:rFonts w:ascii="宋体" w:hAnsi="宋体" w:eastAsia="宋体"/>
          <w:sz w:val="24"/>
          <w:szCs w:val="24"/>
        </w:rPr>
        <w:fldChar w:fldCharType="end"/>
      </w:r>
      <w:r>
        <w:rPr>
          <w:rFonts w:ascii="宋体" w:hAnsi="宋体" w:eastAsia="宋体"/>
          <w:sz w:val="24"/>
          <w:szCs w:val="24"/>
        </w:rPr>
        <w:fldChar w:fldCharType="end"/>
      </w:r>
    </w:p>
    <w:p>
      <w:pPr>
        <w:pStyle w:val="16"/>
        <w:tabs>
          <w:tab w:val="right" w:leader="dot" w:pos="9060"/>
        </w:tabs>
        <w:adjustRightInd w:val="0"/>
        <w:snapToGrid w:val="0"/>
        <w:spacing w:after="0" w:line="720" w:lineRule="auto"/>
        <w:rPr>
          <w:rFonts w:ascii="宋体" w:hAnsi="宋体" w:eastAsia="宋体"/>
          <w:kern w:val="2"/>
          <w:sz w:val="24"/>
          <w:szCs w:val="24"/>
        </w:rPr>
      </w:pPr>
      <w:r>
        <w:fldChar w:fldCharType="begin"/>
      </w:r>
      <w:r>
        <w:instrText xml:space="preserve"> HYPERLINK \l "_Toc27660565" </w:instrText>
      </w:r>
      <w:r>
        <w:fldChar w:fldCharType="separate"/>
      </w:r>
      <w:r>
        <w:rPr>
          <w:rStyle w:val="23"/>
          <w:rFonts w:hint="eastAsia" w:ascii="宋体" w:hAnsi="宋体" w:eastAsia="宋体" w:cs="宋体"/>
          <w:bCs/>
          <w:sz w:val="24"/>
          <w:szCs w:val="24"/>
        </w:rPr>
        <w:t>第四章</w:t>
      </w:r>
      <w:r>
        <w:rPr>
          <w:rStyle w:val="23"/>
          <w:rFonts w:ascii="宋体" w:hAnsi="宋体" w:eastAsia="宋体" w:cs="宋体"/>
          <w:bCs/>
          <w:sz w:val="24"/>
          <w:szCs w:val="24"/>
        </w:rPr>
        <w:t xml:space="preserve">  </w:t>
      </w:r>
      <w:r>
        <w:rPr>
          <w:rStyle w:val="23"/>
          <w:rFonts w:hint="eastAsia" w:ascii="宋体" w:hAnsi="宋体" w:eastAsia="宋体" w:cs="宋体"/>
          <w:bCs/>
          <w:sz w:val="24"/>
          <w:szCs w:val="24"/>
        </w:rPr>
        <w:t>合同主要条款</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_Toc27660565 \h </w:instrText>
      </w:r>
      <w:r>
        <w:rPr>
          <w:rFonts w:ascii="宋体" w:hAnsi="宋体" w:eastAsia="宋体"/>
          <w:sz w:val="24"/>
          <w:szCs w:val="24"/>
        </w:rPr>
        <w:fldChar w:fldCharType="separate"/>
      </w:r>
      <w:r>
        <w:rPr>
          <w:rFonts w:ascii="宋体" w:hAnsi="宋体" w:eastAsia="宋体"/>
          <w:sz w:val="24"/>
          <w:szCs w:val="24"/>
        </w:rPr>
        <w:t>18</w:t>
      </w:r>
      <w:r>
        <w:rPr>
          <w:rFonts w:ascii="宋体" w:hAnsi="宋体" w:eastAsia="宋体"/>
          <w:sz w:val="24"/>
          <w:szCs w:val="24"/>
        </w:rPr>
        <w:fldChar w:fldCharType="end"/>
      </w:r>
      <w:r>
        <w:rPr>
          <w:rFonts w:ascii="宋体" w:hAnsi="宋体" w:eastAsia="宋体"/>
          <w:sz w:val="24"/>
          <w:szCs w:val="24"/>
        </w:rPr>
        <w:fldChar w:fldCharType="end"/>
      </w:r>
    </w:p>
    <w:p>
      <w:pPr>
        <w:pStyle w:val="16"/>
        <w:tabs>
          <w:tab w:val="right" w:leader="dot" w:pos="9060"/>
        </w:tabs>
        <w:adjustRightInd w:val="0"/>
        <w:snapToGrid w:val="0"/>
        <w:spacing w:after="0" w:line="720" w:lineRule="auto"/>
        <w:rPr>
          <w:rFonts w:ascii="宋体" w:hAnsi="宋体" w:eastAsia="宋体"/>
          <w:kern w:val="2"/>
          <w:sz w:val="24"/>
          <w:szCs w:val="24"/>
        </w:rPr>
      </w:pPr>
      <w:r>
        <w:fldChar w:fldCharType="begin"/>
      </w:r>
      <w:r>
        <w:instrText xml:space="preserve"> HYPERLINK \l "_Toc27660566" </w:instrText>
      </w:r>
      <w:r>
        <w:fldChar w:fldCharType="separate"/>
      </w:r>
      <w:r>
        <w:rPr>
          <w:rStyle w:val="23"/>
          <w:rFonts w:hint="eastAsia" w:ascii="宋体" w:hAnsi="宋体" w:eastAsia="宋体" w:cs="宋体"/>
          <w:bCs/>
          <w:sz w:val="24"/>
          <w:szCs w:val="24"/>
        </w:rPr>
        <w:t xml:space="preserve">第五章 </w:t>
      </w:r>
      <w:r>
        <w:rPr>
          <w:rStyle w:val="23"/>
          <w:rFonts w:ascii="宋体" w:hAnsi="宋体" w:eastAsia="宋体" w:cs="宋体"/>
          <w:bCs/>
          <w:sz w:val="24"/>
          <w:szCs w:val="24"/>
        </w:rPr>
        <w:t xml:space="preserve"> </w:t>
      </w:r>
      <w:r>
        <w:rPr>
          <w:rStyle w:val="23"/>
          <w:rFonts w:hint="eastAsia" w:ascii="宋体" w:hAnsi="宋体" w:eastAsia="宋体" w:cs="宋体"/>
          <w:bCs/>
          <w:sz w:val="24"/>
          <w:szCs w:val="24"/>
        </w:rPr>
        <w:t>项目采购需求</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_Toc27660566 \h </w:instrText>
      </w:r>
      <w:r>
        <w:rPr>
          <w:rFonts w:ascii="宋体" w:hAnsi="宋体" w:eastAsia="宋体"/>
          <w:sz w:val="24"/>
          <w:szCs w:val="24"/>
        </w:rPr>
        <w:fldChar w:fldCharType="separate"/>
      </w:r>
      <w:r>
        <w:rPr>
          <w:rFonts w:ascii="宋体" w:hAnsi="宋体" w:eastAsia="宋体"/>
          <w:sz w:val="24"/>
          <w:szCs w:val="24"/>
        </w:rPr>
        <w:t>26</w:t>
      </w:r>
      <w:r>
        <w:rPr>
          <w:rFonts w:ascii="宋体" w:hAnsi="宋体" w:eastAsia="宋体"/>
          <w:sz w:val="24"/>
          <w:szCs w:val="24"/>
        </w:rPr>
        <w:fldChar w:fldCharType="end"/>
      </w:r>
      <w:r>
        <w:rPr>
          <w:rFonts w:ascii="宋体" w:hAnsi="宋体" w:eastAsia="宋体"/>
          <w:sz w:val="24"/>
          <w:szCs w:val="24"/>
        </w:rPr>
        <w:fldChar w:fldCharType="end"/>
      </w:r>
    </w:p>
    <w:p>
      <w:pPr>
        <w:pStyle w:val="16"/>
        <w:tabs>
          <w:tab w:val="right" w:leader="dot" w:pos="9060"/>
        </w:tabs>
        <w:adjustRightInd w:val="0"/>
        <w:snapToGrid w:val="0"/>
        <w:spacing w:after="0" w:line="720" w:lineRule="auto"/>
        <w:rPr>
          <w:kern w:val="2"/>
          <w:sz w:val="21"/>
        </w:rPr>
      </w:pPr>
      <w:r>
        <w:fldChar w:fldCharType="begin"/>
      </w:r>
      <w:r>
        <w:instrText xml:space="preserve"> HYPERLINK \l "_Toc27660567" </w:instrText>
      </w:r>
      <w:r>
        <w:fldChar w:fldCharType="separate"/>
      </w:r>
      <w:r>
        <w:rPr>
          <w:rStyle w:val="23"/>
          <w:rFonts w:hint="eastAsia" w:ascii="宋体" w:hAnsi="宋体" w:eastAsia="宋体" w:cs="宋体"/>
          <w:bCs/>
          <w:sz w:val="24"/>
          <w:szCs w:val="24"/>
        </w:rPr>
        <w:t>第六章</w:t>
      </w:r>
      <w:r>
        <w:rPr>
          <w:rStyle w:val="23"/>
          <w:rFonts w:ascii="宋体" w:hAnsi="宋体" w:eastAsia="宋体" w:cs="宋体"/>
          <w:bCs/>
          <w:sz w:val="24"/>
          <w:szCs w:val="24"/>
        </w:rPr>
        <w:t xml:space="preserve">  </w:t>
      </w:r>
      <w:r>
        <w:rPr>
          <w:rStyle w:val="23"/>
          <w:rFonts w:hint="eastAsia" w:ascii="宋体" w:hAnsi="宋体" w:eastAsia="宋体" w:cs="宋体"/>
          <w:bCs/>
          <w:sz w:val="24"/>
          <w:szCs w:val="24"/>
        </w:rPr>
        <w:t>响应文件格式</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_Toc27660567 \h </w:instrText>
      </w:r>
      <w:r>
        <w:rPr>
          <w:rFonts w:ascii="宋体" w:hAnsi="宋体" w:eastAsia="宋体"/>
          <w:sz w:val="24"/>
          <w:szCs w:val="24"/>
        </w:rPr>
        <w:fldChar w:fldCharType="separate"/>
      </w:r>
      <w:r>
        <w:rPr>
          <w:rFonts w:ascii="宋体" w:hAnsi="宋体" w:eastAsia="宋体"/>
          <w:sz w:val="24"/>
          <w:szCs w:val="24"/>
        </w:rPr>
        <w:t>38</w:t>
      </w:r>
      <w:r>
        <w:rPr>
          <w:rFonts w:ascii="宋体" w:hAnsi="宋体" w:eastAsia="宋体"/>
          <w:sz w:val="24"/>
          <w:szCs w:val="24"/>
        </w:rPr>
        <w:fldChar w:fldCharType="end"/>
      </w:r>
      <w:r>
        <w:rPr>
          <w:rFonts w:ascii="宋体" w:hAnsi="宋体" w:eastAsia="宋体"/>
          <w:sz w:val="24"/>
          <w:szCs w:val="24"/>
        </w:rPr>
        <w:fldChar w:fldCharType="end"/>
      </w:r>
    </w:p>
    <w:p>
      <w:pPr>
        <w:adjustRightInd w:val="0"/>
        <w:snapToGrid w:val="0"/>
        <w:spacing w:line="720" w:lineRule="auto"/>
        <w:jc w:val="center"/>
        <w:rPr>
          <w:rFonts w:ascii="宋体" w:hAnsi="宋体" w:cs="宋体"/>
          <w:sz w:val="30"/>
          <w:szCs w:val="30"/>
        </w:rPr>
      </w:pPr>
      <w:r>
        <w:rPr>
          <w:rFonts w:cs="宋体" w:asciiTheme="minorEastAsia" w:hAnsiTheme="minorEastAsia" w:eastAsiaTheme="minorEastAsia"/>
          <w:sz w:val="28"/>
          <w:szCs w:val="28"/>
        </w:rPr>
        <w:fldChar w:fldCharType="end"/>
      </w:r>
    </w:p>
    <w:p>
      <w:pPr>
        <w:spacing w:line="560" w:lineRule="exact"/>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spacing w:line="600" w:lineRule="exact"/>
        <w:rPr>
          <w:rFonts w:ascii="宋体" w:hAnsi="宋体" w:cs="宋体"/>
          <w:b/>
          <w:bCs/>
          <w:sz w:val="28"/>
        </w:rPr>
      </w:pPr>
    </w:p>
    <w:p>
      <w:pPr>
        <w:spacing w:line="600" w:lineRule="exact"/>
        <w:rPr>
          <w:rFonts w:ascii="宋体" w:hAnsi="宋体" w:cs="宋体"/>
          <w:b/>
          <w:bCs/>
          <w:sz w:val="28"/>
        </w:rPr>
      </w:pPr>
    </w:p>
    <w:p>
      <w:pPr>
        <w:spacing w:line="600" w:lineRule="exact"/>
        <w:rPr>
          <w:rFonts w:ascii="宋体" w:hAnsi="宋体" w:cs="宋体"/>
          <w:b/>
          <w:bCs/>
          <w:sz w:val="28"/>
        </w:rPr>
      </w:pPr>
    </w:p>
    <w:p>
      <w:pPr>
        <w:spacing w:line="600" w:lineRule="exact"/>
        <w:rPr>
          <w:rFonts w:ascii="宋体" w:hAnsi="宋体" w:cs="宋体"/>
          <w:b/>
          <w:bCs/>
          <w:sz w:val="28"/>
        </w:rPr>
      </w:pPr>
    </w:p>
    <w:p>
      <w:pPr>
        <w:spacing w:line="600" w:lineRule="exact"/>
        <w:rPr>
          <w:rFonts w:ascii="宋体" w:hAnsi="宋体" w:cs="宋体"/>
          <w:b/>
          <w:bCs/>
          <w:sz w:val="28"/>
        </w:rPr>
      </w:pPr>
    </w:p>
    <w:p>
      <w:pPr>
        <w:adjustRightInd w:val="0"/>
        <w:snapToGrid w:val="0"/>
        <w:spacing w:line="360" w:lineRule="auto"/>
        <w:rPr>
          <w:rFonts w:ascii="宋体" w:hAnsi="宋体" w:cs="宋体"/>
          <w:b/>
          <w:bCs/>
          <w:sz w:val="24"/>
        </w:rPr>
      </w:pPr>
    </w:p>
    <w:p>
      <w:pPr>
        <w:adjustRightInd w:val="0"/>
        <w:snapToGrid w:val="0"/>
        <w:spacing w:line="360" w:lineRule="auto"/>
        <w:rPr>
          <w:rFonts w:ascii="宋体" w:hAnsi="宋体" w:cs="宋体"/>
          <w:b/>
          <w:bCs/>
          <w:sz w:val="24"/>
        </w:rPr>
      </w:pPr>
    </w:p>
    <w:p>
      <w:pPr>
        <w:adjustRightInd w:val="0"/>
        <w:snapToGrid w:val="0"/>
        <w:spacing w:line="360" w:lineRule="auto"/>
        <w:rPr>
          <w:rFonts w:ascii="宋体" w:hAnsi="宋体" w:cs="宋体"/>
          <w:b/>
          <w:bCs/>
          <w:sz w:val="24"/>
        </w:rPr>
      </w:pPr>
    </w:p>
    <w:p>
      <w:pPr>
        <w:adjustRightInd w:val="0"/>
        <w:snapToGrid w:val="0"/>
        <w:spacing w:line="360" w:lineRule="auto"/>
        <w:rPr>
          <w:rFonts w:ascii="宋体" w:hAnsi="宋体" w:cs="宋体"/>
          <w:b/>
          <w:bCs/>
          <w:sz w:val="24"/>
        </w:rPr>
      </w:pPr>
    </w:p>
    <w:p>
      <w:pPr>
        <w:adjustRightInd w:val="0"/>
        <w:snapToGrid w:val="0"/>
        <w:spacing w:line="360" w:lineRule="auto"/>
        <w:rPr>
          <w:rFonts w:ascii="宋体" w:hAnsi="宋体" w:cs="宋体"/>
          <w:b/>
          <w:bCs/>
          <w:sz w:val="24"/>
        </w:rPr>
      </w:pPr>
      <w:r>
        <w:rPr>
          <w:rFonts w:hint="eastAsia" w:ascii="宋体" w:hAnsi="宋体" w:cs="宋体"/>
          <w:b/>
          <w:bCs/>
          <w:sz w:val="24"/>
        </w:rPr>
        <w:t>尊敬的供应商：</w:t>
      </w:r>
    </w:p>
    <w:p>
      <w:pPr>
        <w:pStyle w:val="17"/>
        <w:adjustRightInd w:val="0"/>
        <w:snapToGrid w:val="0"/>
        <w:spacing w:line="360" w:lineRule="auto"/>
        <w:ind w:firstLine="489" w:firstLineChars="204"/>
        <w:jc w:val="left"/>
        <w:rPr>
          <w:rFonts w:ascii="宋体" w:eastAsia="宋体" w:cs="宋体"/>
          <w:sz w:val="24"/>
        </w:rPr>
      </w:pPr>
      <w:r>
        <w:rPr>
          <w:rFonts w:hint="eastAsia" w:ascii="宋体" w:eastAsia="宋体" w:cs="宋体"/>
          <w:sz w:val="24"/>
        </w:rPr>
        <w:t>欢迎参加本次采购项目的竞争性磋商。为了保证磋商顺利进行，请在制作响应文件之前，仔细阅读本磋商文件的各项条款，并严格按要求制作和递交响应文件。谢谢合作！</w:t>
      </w:r>
    </w:p>
    <w:p>
      <w:pPr>
        <w:widowControl/>
        <w:jc w:val="left"/>
        <w:rPr>
          <w:rFonts w:ascii="宋体" w:hAnsi="宋体" w:cs="宋体"/>
          <w:sz w:val="28"/>
        </w:rPr>
      </w:pPr>
      <w:r>
        <w:rPr>
          <w:rFonts w:ascii="宋体" w:cs="宋体"/>
        </w:rPr>
        <w:br w:type="page"/>
      </w: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bookmarkStart w:id="0" w:name="_Toc27660562"/>
      <w:r>
        <w:rPr>
          <w:rFonts w:hint="eastAsia" w:cs="宋体" w:asciiTheme="minorEastAsia" w:hAnsiTheme="minorEastAsia" w:eastAsiaTheme="minorEastAsia"/>
          <w:b/>
          <w:bCs/>
          <w:sz w:val="36"/>
        </w:rPr>
        <w:t>第一章  磋商邀请</w:t>
      </w:r>
      <w:bookmarkEnd w:id="0"/>
    </w:p>
    <w:p>
      <w:pPr>
        <w:adjustRightInd w:val="0"/>
        <w:snapToGrid w:val="0"/>
        <w:spacing w:line="360" w:lineRule="auto"/>
        <w:ind w:firstLine="480" w:firstLineChars="200"/>
        <w:jc w:val="left"/>
        <w:rPr>
          <w:rFonts w:hint="eastAsia" w:cs="仿宋" w:asciiTheme="minorEastAsia" w:hAnsiTheme="minorEastAsia" w:eastAsiaTheme="minorEastAsia"/>
          <w:bCs/>
          <w:sz w:val="24"/>
          <w:lang w:eastAsia="zh-CN"/>
        </w:rPr>
      </w:pPr>
      <w:r>
        <w:rPr>
          <w:rFonts w:hint="eastAsia" w:cs="仿宋" w:asciiTheme="minorEastAsia" w:hAnsiTheme="minorEastAsia" w:eastAsiaTheme="minorEastAsia"/>
          <w:bCs/>
          <w:sz w:val="24"/>
        </w:rPr>
        <w:t>现就我校生物化学、生物物理实验室建设项目</w:t>
      </w:r>
      <w:r>
        <w:rPr>
          <w:rFonts w:hint="eastAsia" w:ascii="宋体" w:hAnsi="宋体"/>
          <w:sz w:val="24"/>
        </w:rPr>
        <w:t>实施竞争性磋商采购</w:t>
      </w:r>
      <w:r>
        <w:rPr>
          <w:rFonts w:hint="eastAsia" w:cs="仿宋" w:asciiTheme="minorEastAsia" w:hAnsiTheme="minorEastAsia" w:eastAsiaTheme="minorEastAsia"/>
          <w:bCs/>
          <w:sz w:val="24"/>
        </w:rPr>
        <w:t>，</w:t>
      </w:r>
      <w:r>
        <w:rPr>
          <w:rFonts w:hint="eastAsia" w:cs="仿宋" w:asciiTheme="minorEastAsia" w:hAnsiTheme="minorEastAsia" w:eastAsiaTheme="minorEastAsia"/>
          <w:sz w:val="24"/>
        </w:rPr>
        <w:t>现邀请符合条件的供应商参加磋商</w:t>
      </w:r>
      <w:r>
        <w:rPr>
          <w:rFonts w:hint="eastAsia" w:cs="仿宋" w:asciiTheme="minorEastAsia" w:hAnsiTheme="minorEastAsia" w:eastAsiaTheme="minorEastAsia"/>
          <w:sz w:val="24"/>
          <w:lang w:eastAsia="zh-CN"/>
        </w:rPr>
        <w:t>。</w:t>
      </w:r>
    </w:p>
    <w:p>
      <w:pPr>
        <w:adjustRightInd w:val="0"/>
        <w:snapToGrid w:val="0"/>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一、</w:t>
      </w:r>
      <w:r>
        <w:rPr>
          <w:rFonts w:hint="eastAsia" w:cs="宋体" w:asciiTheme="minorEastAsia" w:hAnsiTheme="minorEastAsia" w:eastAsiaTheme="minorEastAsia"/>
          <w:b/>
          <w:sz w:val="24"/>
        </w:rPr>
        <w:t>项目名称及编号</w:t>
      </w:r>
    </w:p>
    <w:p>
      <w:pPr>
        <w:adjustRightInd w:val="0"/>
        <w:snapToGrid w:val="0"/>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sz w:val="24"/>
        </w:rPr>
        <w:t>项目名称：</w:t>
      </w:r>
      <w:r>
        <w:rPr>
          <w:rFonts w:hint="eastAsia" w:cs="宋体" w:asciiTheme="minorEastAsia" w:hAnsiTheme="minorEastAsia" w:eastAsiaTheme="minorEastAsia"/>
          <w:bCs/>
          <w:sz w:val="24"/>
        </w:rPr>
        <w:t>淮阴师范学院生物化学、生物物理实验室建设项目</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bCs/>
          <w:sz w:val="24"/>
        </w:rPr>
        <w:t>项目编号：HNU2020007</w:t>
      </w:r>
    </w:p>
    <w:p>
      <w:pPr>
        <w:pStyle w:val="10"/>
        <w:adjustRightInd w:val="0"/>
        <w:snapToGrid w:val="0"/>
        <w:spacing w:line="360" w:lineRule="auto"/>
        <w:ind w:firstLine="42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二、项目简要说明</w:t>
      </w:r>
    </w:p>
    <w:p>
      <w:pPr>
        <w:adjustRightInd w:val="0"/>
        <w:snapToGrid w:val="0"/>
        <w:spacing w:line="360" w:lineRule="auto"/>
        <w:ind w:firstLine="484" w:firstLineChars="202"/>
        <w:rPr>
          <w:rFonts w:asciiTheme="minorEastAsia" w:hAnsiTheme="minorEastAsia" w:eastAsiaTheme="minorEastAsia"/>
          <w:sz w:val="24"/>
        </w:rPr>
      </w:pPr>
      <w:r>
        <w:rPr>
          <w:rFonts w:hint="eastAsia" w:asciiTheme="minorEastAsia" w:hAnsiTheme="minorEastAsia" w:eastAsiaTheme="minorEastAsia"/>
          <w:sz w:val="24"/>
        </w:rPr>
        <w:t>1、采购项目简要说明</w:t>
      </w:r>
    </w:p>
    <w:p>
      <w:pPr>
        <w:adjustRightInd w:val="0"/>
        <w:snapToGrid w:val="0"/>
        <w:spacing w:line="360" w:lineRule="auto"/>
        <w:ind w:firstLine="480" w:firstLineChars="200"/>
        <w:rPr>
          <w:rFonts w:cs="宋体" w:asciiTheme="minorEastAsia" w:hAnsiTheme="minorEastAsia" w:eastAsiaTheme="minorEastAsia"/>
          <w:bCs/>
          <w:sz w:val="24"/>
          <w:lang w:val="zh-CN"/>
        </w:rPr>
      </w:pPr>
      <w:r>
        <w:rPr>
          <w:rFonts w:hint="eastAsia" w:cs="宋体" w:asciiTheme="minorEastAsia" w:hAnsiTheme="minorEastAsia" w:eastAsiaTheme="minorEastAsia"/>
          <w:bCs/>
          <w:sz w:val="24"/>
        </w:rPr>
        <w:t>本项目主要内容为淮阴师范学院</w:t>
      </w:r>
      <w:r>
        <w:rPr>
          <w:rFonts w:hint="eastAsia" w:cs="仿宋" w:asciiTheme="minorEastAsia" w:hAnsiTheme="minorEastAsia" w:eastAsiaTheme="minorEastAsia"/>
          <w:bCs/>
          <w:sz w:val="24"/>
        </w:rPr>
        <w:t>生物化学、生物物理实验室建设</w:t>
      </w: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zh-CN"/>
        </w:rPr>
        <w:t>具体要求详见磋商文件</w:t>
      </w: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zh-CN"/>
        </w:rPr>
        <w:t>第五章项目采购需求</w:t>
      </w: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zh-CN"/>
        </w:rPr>
        <w:t>。</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2、本项目采购预算为</w:t>
      </w:r>
      <w:r>
        <w:rPr>
          <w:rFonts w:hint="eastAsia" w:cs="宋体" w:asciiTheme="minorEastAsia" w:hAnsiTheme="minorEastAsia" w:eastAsiaTheme="minorEastAsia"/>
          <w:sz w:val="24"/>
        </w:rPr>
        <w:t>人民币叁拾柒万贰仟元整</w:t>
      </w:r>
      <w:r>
        <w:rPr>
          <w:rFonts w:hint="eastAsia" w:asciiTheme="minorEastAsia" w:hAnsiTheme="minorEastAsia" w:eastAsiaTheme="minorEastAsia"/>
          <w:sz w:val="24"/>
        </w:rPr>
        <w:t>。</w:t>
      </w:r>
    </w:p>
    <w:p>
      <w:pPr>
        <w:tabs>
          <w:tab w:val="left" w:pos="900"/>
        </w:tabs>
        <w:adjustRightInd w:val="0"/>
        <w:snapToGrid w:val="0"/>
        <w:spacing w:line="360" w:lineRule="auto"/>
        <w:ind w:firstLine="472" w:firstLineChars="196"/>
        <w:rPr>
          <w:rFonts w:cs="宋体" w:asciiTheme="minorEastAsia" w:hAnsiTheme="minorEastAsia" w:eastAsiaTheme="minorEastAsia"/>
          <w:b/>
          <w:sz w:val="24"/>
        </w:rPr>
      </w:pPr>
      <w:r>
        <w:rPr>
          <w:rFonts w:hint="eastAsia" w:cs="宋体" w:asciiTheme="minorEastAsia" w:hAnsiTheme="minorEastAsia" w:eastAsiaTheme="minorEastAsia"/>
          <w:b/>
          <w:sz w:val="24"/>
        </w:rPr>
        <w:t>三、供应商资格要求</w:t>
      </w:r>
    </w:p>
    <w:p>
      <w:pPr>
        <w:adjustRightInd w:val="0"/>
        <w:snapToGrid w:val="0"/>
        <w:spacing w:line="360" w:lineRule="auto"/>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1、</w:t>
      </w:r>
      <w:r>
        <w:rPr>
          <w:rFonts w:cs="宋体" w:asciiTheme="minorEastAsia" w:hAnsiTheme="minorEastAsia" w:eastAsiaTheme="minorEastAsia"/>
          <w:bCs/>
          <w:sz w:val="24"/>
        </w:rPr>
        <w:t>供应商必须</w:t>
      </w:r>
      <w:r>
        <w:rPr>
          <w:rFonts w:hint="eastAsia" w:cs="宋体" w:asciiTheme="minorEastAsia" w:hAnsiTheme="minorEastAsia" w:eastAsiaTheme="minorEastAsia"/>
          <w:bCs/>
          <w:sz w:val="24"/>
        </w:rPr>
        <w:t>符合</w:t>
      </w:r>
      <w:r>
        <w:rPr>
          <w:rFonts w:cs="宋体" w:asciiTheme="minorEastAsia" w:hAnsiTheme="minorEastAsia" w:eastAsiaTheme="minorEastAsia"/>
          <w:bCs/>
          <w:sz w:val="24"/>
        </w:rPr>
        <w:t>《中华人民共和国政府采购法》第二十二条规定</w:t>
      </w:r>
      <w:r>
        <w:rPr>
          <w:rFonts w:hint="eastAsia" w:cs="宋体" w:asciiTheme="minorEastAsia" w:hAnsiTheme="minorEastAsia" w:eastAsiaTheme="minorEastAsia"/>
          <w:bCs/>
          <w:sz w:val="24"/>
        </w:rPr>
        <w:t>的条件，并提供下列材料：</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（1）法人或者其他组织的营业执照等证明文件；</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（2）财务状况报告；</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（3）依法交纳税收和社会保障资金的相关材料；</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（4）具备履行合同所必需的设备和专业技术能力的证明材料；</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（5）参加政府采购活动前3年内在经营活动中没有重大违法记录的书面声明；</w:t>
      </w:r>
    </w:p>
    <w:p>
      <w:pPr>
        <w:adjustRightInd w:val="0"/>
        <w:snapToGrid w:val="0"/>
        <w:spacing w:line="360" w:lineRule="auto"/>
        <w:ind w:firstLine="470" w:firstLineChars="196"/>
        <w:rPr>
          <w:rFonts w:ascii="宋体" w:hAnsi="宋体" w:cs="宋体"/>
          <w:bCs/>
          <w:sz w:val="24"/>
        </w:rPr>
      </w:pPr>
      <w:r>
        <w:rPr>
          <w:rFonts w:hint="eastAsia" w:ascii="宋体" w:hAnsi="宋体" w:cs="宋体"/>
          <w:bCs/>
          <w:sz w:val="24"/>
        </w:rPr>
        <w:t>2、本次项目不接受联合体供应商参加磋商；</w:t>
      </w:r>
    </w:p>
    <w:p>
      <w:pPr>
        <w:adjustRightInd w:val="0"/>
        <w:snapToGrid w:val="0"/>
        <w:spacing w:line="360" w:lineRule="auto"/>
        <w:ind w:firstLine="470" w:firstLineChars="196"/>
        <w:rPr>
          <w:rFonts w:ascii="宋体" w:hAnsi="宋体" w:cs="宋体"/>
          <w:bCs/>
          <w:sz w:val="24"/>
        </w:rPr>
      </w:pPr>
      <w:r>
        <w:rPr>
          <w:rFonts w:hint="eastAsia" w:ascii="宋体" w:hAnsi="宋体" w:cs="宋体"/>
          <w:bCs/>
          <w:sz w:val="24"/>
        </w:rPr>
        <w:t>3、其它资格要求:</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（1）</w:t>
      </w:r>
      <w:r>
        <w:rPr>
          <w:rFonts w:ascii="宋体" w:hAnsi="宋体" w:cs="宋体"/>
          <w:bCs/>
          <w:sz w:val="24"/>
        </w:rPr>
        <w:t>供应商单位负责人为同一人或者存在直接控股、管理关系的不同供应商，不得同时参加同一合同项下的政府采购活动；</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（2）</w:t>
      </w:r>
      <w:r>
        <w:rPr>
          <w:rFonts w:ascii="宋体" w:hAnsi="宋体" w:cs="宋体"/>
          <w:bCs/>
          <w:sz w:val="24"/>
        </w:rPr>
        <w:t>凡为采购项目提供整体设计、规范编制或者项目管理、监理、检测等服务的供应商，不得再参加本项目的其他采购活动</w:t>
      </w:r>
      <w:r>
        <w:rPr>
          <w:rFonts w:hint="eastAsia" w:ascii="宋体" w:hAnsi="宋体" w:cs="宋体"/>
          <w:bCs/>
          <w:sz w:val="24"/>
        </w:rPr>
        <w:t>；</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（3）未</w:t>
      </w:r>
      <w:r>
        <w:rPr>
          <w:rFonts w:ascii="宋体" w:hAnsi="宋体" w:cs="宋体"/>
          <w:bCs/>
          <w:sz w:val="24"/>
        </w:rPr>
        <w:t>被“信用中国”网站（</w:t>
      </w:r>
      <w:r>
        <w:fldChar w:fldCharType="begin"/>
      </w:r>
      <w:r>
        <w:instrText xml:space="preserve"> HYPERLINK "http://www.creditchina.gov.cn" </w:instrText>
      </w:r>
      <w:r>
        <w:fldChar w:fldCharType="separate"/>
      </w:r>
      <w:r>
        <w:rPr>
          <w:rFonts w:hint="eastAsia" w:ascii="宋体" w:hAnsi="宋体" w:cs="宋体"/>
          <w:bCs/>
          <w:sz w:val="24"/>
        </w:rPr>
        <w:t>www.creditchina.gov.cn</w:t>
      </w:r>
      <w:r>
        <w:rPr>
          <w:rFonts w:hint="eastAsia" w:ascii="宋体" w:hAnsi="宋体" w:cs="宋体"/>
          <w:bCs/>
          <w:sz w:val="24"/>
        </w:rPr>
        <w:fldChar w:fldCharType="end"/>
      </w:r>
      <w:r>
        <w:rPr>
          <w:rFonts w:ascii="宋体" w:hAnsi="宋体" w:cs="宋体"/>
          <w:bCs/>
          <w:sz w:val="24"/>
        </w:rPr>
        <w:t>）或“中国政府采购网”网站（</w:t>
      </w:r>
      <w:r>
        <w:fldChar w:fldCharType="begin"/>
      </w:r>
      <w:r>
        <w:instrText xml:space="preserve"> HYPERLINK "http://www.ccgp.gov.cn" </w:instrText>
      </w:r>
      <w:r>
        <w:fldChar w:fldCharType="separate"/>
      </w:r>
      <w:r>
        <w:rPr>
          <w:rFonts w:hint="eastAsia" w:ascii="宋体" w:hAnsi="宋体" w:cs="宋体"/>
          <w:bCs/>
          <w:sz w:val="24"/>
        </w:rPr>
        <w:t>www.ccgp.gov.cn</w:t>
      </w:r>
      <w:r>
        <w:rPr>
          <w:rFonts w:hint="eastAsia" w:ascii="宋体" w:hAnsi="宋体" w:cs="宋体"/>
          <w:bCs/>
          <w:sz w:val="24"/>
        </w:rPr>
        <w:fldChar w:fldCharType="end"/>
      </w:r>
      <w:r>
        <w:rPr>
          <w:rFonts w:ascii="宋体" w:hAnsi="宋体" w:cs="宋体"/>
          <w:bCs/>
          <w:sz w:val="24"/>
        </w:rPr>
        <w:t>）</w:t>
      </w:r>
      <w:r>
        <w:rPr>
          <w:rFonts w:hint="eastAsia" w:ascii="宋体" w:hAnsi="宋体" w:cs="宋体"/>
          <w:bCs/>
          <w:sz w:val="24"/>
        </w:rPr>
        <w:t>列入失信被执行人、重大税收违法案件当事人名单、政府采购严重违法失信行为记录名单</w:t>
      </w:r>
      <w:r>
        <w:rPr>
          <w:rFonts w:ascii="宋体" w:hAnsi="宋体" w:cs="宋体"/>
          <w:bCs/>
          <w:sz w:val="24"/>
        </w:rPr>
        <w:t>。</w:t>
      </w:r>
    </w:p>
    <w:p>
      <w:pPr>
        <w:tabs>
          <w:tab w:val="left" w:pos="900"/>
        </w:tabs>
        <w:adjustRightInd w:val="0"/>
        <w:snapToGrid w:val="0"/>
        <w:spacing w:line="360" w:lineRule="auto"/>
        <w:ind w:firstLine="472" w:firstLineChars="196"/>
        <w:rPr>
          <w:rFonts w:ascii="宋体" w:hAnsi="宋体" w:cs="宋体"/>
          <w:b/>
          <w:sz w:val="24"/>
        </w:rPr>
      </w:pPr>
      <w:r>
        <w:rPr>
          <w:rFonts w:hint="eastAsia" w:ascii="宋体" w:hAnsi="宋体" w:cs="宋体"/>
          <w:b/>
          <w:sz w:val="24"/>
        </w:rPr>
        <w:t>四、磋商文件的获取</w:t>
      </w:r>
    </w:p>
    <w:p>
      <w:pPr>
        <w:autoSpaceDE w:val="0"/>
        <w:snapToGrid w:val="0"/>
        <w:spacing w:line="360" w:lineRule="auto"/>
        <w:ind w:firstLine="480" w:firstLineChars="200"/>
        <w:jc w:val="left"/>
        <w:rPr>
          <w:rFonts w:ascii="宋体" w:hAnsi="宋体" w:cs="宋体"/>
          <w:sz w:val="24"/>
        </w:rPr>
      </w:pPr>
      <w:r>
        <w:rPr>
          <w:rFonts w:hint="eastAsia" w:ascii="宋体" w:hAnsi="宋体" w:cs="宋体"/>
          <w:sz w:val="24"/>
        </w:rPr>
        <w:t>1、凡有意参加磋商者，请自行在淮阴师范学院招标采购网（</w:t>
      </w:r>
      <w:r>
        <w:fldChar w:fldCharType="begin"/>
      </w:r>
      <w:r>
        <w:instrText xml:space="preserve"> HYPERLINK "http://ztb.hytc.edu.cn" </w:instrText>
      </w:r>
      <w:r>
        <w:fldChar w:fldCharType="separate"/>
      </w:r>
      <w:r>
        <w:rPr>
          <w:rFonts w:ascii="宋体" w:hAnsi="宋体" w:cs="宋体"/>
        </w:rPr>
        <w:t>http://ztb.hytc.edu.cn</w:t>
      </w:r>
      <w:r>
        <w:rPr>
          <w:rFonts w:ascii="宋体" w:hAnsi="宋体" w:cs="宋体"/>
        </w:rPr>
        <w:fldChar w:fldCharType="end"/>
      </w:r>
      <w:r>
        <w:rPr>
          <w:rFonts w:hint="eastAsia" w:ascii="宋体" w:hAnsi="宋体" w:cs="宋体"/>
          <w:sz w:val="24"/>
        </w:rPr>
        <w:t>）上免费下载竞争性磋商文件</w:t>
      </w:r>
      <w:r>
        <w:rPr>
          <w:rFonts w:ascii="宋体" w:hAnsi="宋体" w:cs="宋体"/>
          <w:sz w:val="24"/>
        </w:rPr>
        <w:t>。</w:t>
      </w:r>
      <w:r>
        <w:rPr>
          <w:rFonts w:hint="eastAsia" w:ascii="宋体" w:hAnsi="宋体" w:cs="宋体"/>
          <w:kern w:val="0"/>
          <w:sz w:val="24"/>
        </w:rPr>
        <w:t>有关本次竞争性磋商的事项若存在变动或修改，敬请及时关注</w:t>
      </w:r>
      <w:r>
        <w:rPr>
          <w:rFonts w:hint="eastAsia" w:ascii="宋体" w:hAnsi="宋体" w:cs="宋体"/>
          <w:sz w:val="24"/>
        </w:rPr>
        <w:t>淮阴师范学院招标采购网</w:t>
      </w:r>
      <w:r>
        <w:rPr>
          <w:rFonts w:hint="eastAsia" w:ascii="宋体" w:hAnsi="宋体" w:cs="宋体"/>
          <w:kern w:val="0"/>
          <w:sz w:val="24"/>
        </w:rPr>
        <w:t>发布的信息更正公告。</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2、凡有意参加磋商者无需提前报名，直接按照竞争性磋商文件要求制作响应文件参与磋商。</w:t>
      </w:r>
    </w:p>
    <w:p>
      <w:pPr>
        <w:autoSpaceDE w:val="0"/>
        <w:snapToGrid w:val="0"/>
        <w:spacing w:line="360" w:lineRule="auto"/>
        <w:ind w:firstLine="496" w:firstLineChars="206"/>
        <w:jc w:val="left"/>
        <w:rPr>
          <w:rFonts w:ascii="宋体" w:hAnsi="宋体" w:cs="宋体"/>
          <w:b/>
          <w:sz w:val="24"/>
        </w:rPr>
      </w:pPr>
      <w:r>
        <w:rPr>
          <w:rFonts w:hint="eastAsia" w:ascii="宋体" w:hAnsi="宋体" w:cs="宋体"/>
          <w:b/>
          <w:sz w:val="24"/>
        </w:rPr>
        <w:t>五、响应文件的递交</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1、响应文件递交开始时间: 2020年2月</w:t>
      </w:r>
      <w:r>
        <w:rPr>
          <w:rFonts w:hint="eastAsia" w:ascii="宋体" w:hAnsi="宋体" w:cs="宋体"/>
          <w:sz w:val="24"/>
          <w:highlight w:val="none"/>
          <w:lang w:val="en-US" w:eastAsia="zh-CN"/>
        </w:rPr>
        <w:t>6</w:t>
      </w:r>
      <w:r>
        <w:rPr>
          <w:rFonts w:hint="eastAsia" w:ascii="宋体" w:hAnsi="宋体" w:cs="宋体"/>
          <w:sz w:val="24"/>
          <w:highlight w:val="none"/>
        </w:rPr>
        <w:t>日下午2时30分</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2、响应文件递交截止时间：2020年2月</w:t>
      </w:r>
      <w:r>
        <w:rPr>
          <w:rFonts w:hint="eastAsia" w:ascii="宋体" w:hAnsi="宋体" w:cs="宋体"/>
          <w:sz w:val="24"/>
          <w:highlight w:val="none"/>
          <w:lang w:val="en-US" w:eastAsia="zh-CN"/>
        </w:rPr>
        <w:t>6</w:t>
      </w:r>
      <w:r>
        <w:rPr>
          <w:rFonts w:hint="eastAsia" w:ascii="宋体" w:hAnsi="宋体" w:cs="宋体"/>
          <w:sz w:val="24"/>
          <w:highlight w:val="none"/>
        </w:rPr>
        <w:t>日下午3时00分</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bCs/>
          <w:sz w:val="24"/>
          <w:highlight w:val="none"/>
        </w:rPr>
        <w:t>3、响应文件递交地点：淮安市长江西路111号淮阴师范学院长江路校区16号办公楼</w:t>
      </w:r>
      <w:r>
        <w:rPr>
          <w:rFonts w:hint="eastAsia" w:ascii="宋体" w:hAnsi="宋体" w:cs="宋体"/>
          <w:sz w:val="24"/>
          <w:highlight w:val="none"/>
        </w:rPr>
        <w:t>206室</w:t>
      </w:r>
    </w:p>
    <w:p>
      <w:pPr>
        <w:adjustRightInd w:val="0"/>
        <w:snapToGrid w:val="0"/>
        <w:spacing w:line="360" w:lineRule="auto"/>
        <w:ind w:firstLine="480" w:firstLineChars="200"/>
        <w:jc w:val="left"/>
        <w:rPr>
          <w:rFonts w:hint="default" w:ascii="宋体" w:hAnsi="宋体" w:eastAsia="宋体" w:cs="宋体"/>
          <w:sz w:val="24"/>
          <w:highlight w:val="none"/>
          <w:lang w:val="en-US" w:eastAsia="zh-CN"/>
        </w:rPr>
      </w:pPr>
      <w:r>
        <w:rPr>
          <w:rFonts w:hint="eastAsia" w:ascii="宋体" w:hAnsi="宋体" w:cs="宋体"/>
          <w:sz w:val="24"/>
          <w:highlight w:val="none"/>
        </w:rPr>
        <w:t>4、响应文件接收人:</w:t>
      </w:r>
      <w:r>
        <w:rPr>
          <w:rFonts w:hint="eastAsia" w:ascii="宋体" w:hAnsi="宋体" w:cs="宋体"/>
          <w:sz w:val="24"/>
          <w:highlight w:val="none"/>
          <w:lang w:eastAsia="zh-CN"/>
        </w:rPr>
        <w:t>董</w:t>
      </w:r>
      <w:r>
        <w:rPr>
          <w:rFonts w:hint="eastAsia" w:ascii="宋体" w:hAnsi="宋体" w:cs="宋体"/>
          <w:sz w:val="24"/>
          <w:highlight w:val="none"/>
        </w:rPr>
        <w:t>老师       联系电话：</w:t>
      </w:r>
      <w:r>
        <w:rPr>
          <w:rFonts w:hint="eastAsia" w:ascii="宋体" w:hAnsi="宋体" w:cs="宋体"/>
          <w:bCs/>
          <w:sz w:val="24"/>
          <w:highlight w:val="none"/>
        </w:rPr>
        <w:t>0517-83525</w:t>
      </w:r>
      <w:r>
        <w:rPr>
          <w:rFonts w:hint="eastAsia" w:ascii="宋体" w:hAnsi="宋体" w:cs="宋体"/>
          <w:bCs/>
          <w:sz w:val="24"/>
          <w:highlight w:val="none"/>
          <w:lang w:val="en-US" w:eastAsia="zh-CN"/>
        </w:rPr>
        <w:t>709</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5、逾期送达的或者未送达指定地点的响应文件，采购人不予受理。</w:t>
      </w:r>
    </w:p>
    <w:p>
      <w:pPr>
        <w:adjustRightInd w:val="0"/>
        <w:snapToGrid w:val="0"/>
        <w:spacing w:line="360" w:lineRule="auto"/>
        <w:ind w:firstLine="472" w:firstLineChars="196"/>
        <w:jc w:val="left"/>
        <w:rPr>
          <w:rFonts w:ascii="宋体" w:hAnsi="宋体" w:cs="宋体"/>
          <w:b/>
          <w:sz w:val="24"/>
          <w:highlight w:val="none"/>
        </w:rPr>
      </w:pPr>
      <w:r>
        <w:rPr>
          <w:rFonts w:hint="eastAsia" w:ascii="宋体" w:hAnsi="宋体" w:cs="宋体"/>
          <w:b/>
          <w:sz w:val="24"/>
          <w:highlight w:val="none"/>
        </w:rPr>
        <w:t>六、磋商时间及地点</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1、磋商时间: 2020年2月</w:t>
      </w:r>
      <w:r>
        <w:rPr>
          <w:rFonts w:hint="eastAsia" w:ascii="宋体" w:hAnsi="宋体" w:cs="宋体"/>
          <w:sz w:val="24"/>
          <w:highlight w:val="none"/>
          <w:lang w:val="en-US" w:eastAsia="zh-CN"/>
        </w:rPr>
        <w:t>6</w:t>
      </w:r>
      <w:r>
        <w:rPr>
          <w:rFonts w:hint="eastAsia" w:ascii="宋体" w:hAnsi="宋体" w:cs="宋体"/>
          <w:sz w:val="24"/>
          <w:highlight w:val="none"/>
        </w:rPr>
        <w:t>日下午3时00分</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2、磋商地点:</w:t>
      </w:r>
      <w:r>
        <w:rPr>
          <w:rFonts w:hint="eastAsia" w:ascii="宋体" w:hAnsi="宋体" w:cs="宋体"/>
          <w:bCs/>
          <w:sz w:val="24"/>
        </w:rPr>
        <w:t xml:space="preserve"> 淮安市长江西路111号淮阴师范学院长江路校区16号办公楼213室</w:t>
      </w:r>
    </w:p>
    <w:p>
      <w:pPr>
        <w:adjustRightInd w:val="0"/>
        <w:snapToGrid w:val="0"/>
        <w:spacing w:line="360" w:lineRule="auto"/>
        <w:ind w:firstLine="472" w:firstLineChars="196"/>
        <w:jc w:val="left"/>
        <w:rPr>
          <w:rFonts w:ascii="宋体" w:hAnsi="宋体" w:cs="宋体"/>
          <w:b/>
          <w:sz w:val="24"/>
        </w:rPr>
      </w:pPr>
      <w:r>
        <w:rPr>
          <w:rFonts w:hint="eastAsia" w:ascii="宋体" w:hAnsi="宋体" w:cs="宋体"/>
          <w:b/>
          <w:sz w:val="24"/>
        </w:rPr>
        <w:t>七、本次磋商联系事项</w:t>
      </w:r>
    </w:p>
    <w:p>
      <w:pPr>
        <w:adjustRightInd w:val="0"/>
        <w:snapToGrid w:val="0"/>
        <w:spacing w:line="360" w:lineRule="auto"/>
        <w:ind w:firstLine="480" w:firstLineChars="200"/>
        <w:jc w:val="left"/>
        <w:rPr>
          <w:rFonts w:ascii="宋体" w:hAnsi="宋体" w:cs="宋体"/>
          <w:bCs/>
          <w:sz w:val="24"/>
        </w:rPr>
      </w:pPr>
      <w:r>
        <w:rPr>
          <w:rFonts w:hint="eastAsia" w:ascii="宋体" w:hAnsi="宋体" w:cs="宋体"/>
          <w:sz w:val="24"/>
        </w:rPr>
        <w:t>1、</w:t>
      </w:r>
      <w:r>
        <w:rPr>
          <w:rFonts w:hint="eastAsia" w:ascii="宋体" w:hAnsi="宋体" w:cs="宋体"/>
          <w:bCs/>
          <w:sz w:val="24"/>
        </w:rPr>
        <w:t>联系人:吴老师　       　   联系电话: 0517-83525369</w:t>
      </w:r>
    </w:p>
    <w:p>
      <w:pPr>
        <w:adjustRightInd w:val="0"/>
        <w:snapToGrid w:val="0"/>
        <w:spacing w:line="360" w:lineRule="auto"/>
        <w:ind w:firstLine="480" w:firstLineChars="200"/>
        <w:jc w:val="left"/>
        <w:rPr>
          <w:rFonts w:ascii="宋体" w:hAnsi="宋体" w:cs="宋体"/>
          <w:bCs/>
          <w:sz w:val="24"/>
        </w:rPr>
      </w:pPr>
      <w:r>
        <w:rPr>
          <w:rFonts w:hint="eastAsia" w:ascii="宋体" w:hAnsi="宋体" w:cs="宋体"/>
          <w:bCs/>
          <w:sz w:val="24"/>
        </w:rPr>
        <w:t>2、技术联系人：陈老师         联系电话：</w:t>
      </w:r>
      <w:r>
        <w:rPr>
          <w:rFonts w:ascii="宋体" w:hAnsi="宋体" w:cs="宋体"/>
          <w:bCs/>
          <w:sz w:val="24"/>
        </w:rPr>
        <w:t xml:space="preserve">13611977413 </w:t>
      </w:r>
    </w:p>
    <w:p>
      <w:pPr>
        <w:adjustRightInd w:val="0"/>
        <w:snapToGrid w:val="0"/>
        <w:spacing w:line="360" w:lineRule="auto"/>
        <w:ind w:firstLine="480" w:firstLineChars="200"/>
        <w:jc w:val="left"/>
        <w:rPr>
          <w:rFonts w:ascii="宋体" w:hAnsi="宋体" w:cs="宋体"/>
          <w:bCs/>
          <w:sz w:val="24"/>
        </w:rPr>
      </w:pPr>
      <w:r>
        <w:rPr>
          <w:rFonts w:hint="eastAsia" w:ascii="宋体" w:hAnsi="宋体" w:cs="宋体"/>
          <w:bCs/>
          <w:sz w:val="24"/>
        </w:rPr>
        <w:t>3、采购人联系地址: 淮安市长江西路111号</w:t>
      </w:r>
    </w:p>
    <w:p>
      <w:pPr>
        <w:adjustRightInd w:val="0"/>
        <w:snapToGrid w:val="0"/>
        <w:spacing w:line="360" w:lineRule="auto"/>
        <w:ind w:firstLine="480" w:firstLineChars="200"/>
        <w:jc w:val="left"/>
        <w:rPr>
          <w:rFonts w:ascii="宋体" w:hAnsi="宋体" w:cs="宋体"/>
          <w:bCs/>
          <w:sz w:val="24"/>
        </w:rPr>
      </w:pPr>
      <w:r>
        <w:rPr>
          <w:rFonts w:hint="eastAsia" w:ascii="宋体" w:hAnsi="宋体" w:cs="宋体"/>
          <w:bCs/>
          <w:sz w:val="24"/>
        </w:rPr>
        <w:t>4、联系邮箱：</w:t>
      </w:r>
      <w:r>
        <w:rPr>
          <w:rFonts w:ascii="宋体" w:hAnsi="宋体" w:cs="宋体"/>
          <w:sz w:val="24"/>
        </w:rPr>
        <w:t>ztb_hs@163.com</w:t>
      </w:r>
    </w:p>
    <w:p>
      <w:pPr>
        <w:adjustRightInd w:val="0"/>
        <w:snapToGrid w:val="0"/>
        <w:spacing w:line="360" w:lineRule="auto"/>
        <w:ind w:firstLine="472" w:firstLineChars="196"/>
        <w:jc w:val="left"/>
        <w:rPr>
          <w:rFonts w:ascii="宋体" w:hAnsi="宋体" w:cs="宋体"/>
          <w:b/>
          <w:bCs/>
          <w:sz w:val="24"/>
        </w:rPr>
      </w:pPr>
      <w:r>
        <w:rPr>
          <w:rFonts w:hint="eastAsia" w:ascii="宋体" w:hAnsi="宋体" w:cs="宋体"/>
          <w:b/>
          <w:sz w:val="24"/>
        </w:rPr>
        <w:t>八、其他事项：</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本次采购项目磋商保证金金额为人民币伍仟</w:t>
      </w:r>
      <w:r>
        <w:rPr>
          <w:rFonts w:hint="eastAsia" w:ascii="宋体" w:hAnsi="宋体" w:cs="宋体"/>
          <w:sz w:val="24"/>
        </w:rPr>
        <w:t>元整</w:t>
      </w:r>
      <w:r>
        <w:rPr>
          <w:rFonts w:hint="eastAsia" w:ascii="宋体" w:hAnsi="宋体" w:cs="宋体"/>
          <w:bCs/>
          <w:sz w:val="24"/>
        </w:rPr>
        <w:t>，</w:t>
      </w:r>
      <w:r>
        <w:rPr>
          <w:rFonts w:ascii="宋体" w:hAnsi="宋体" w:cs="宋体"/>
          <w:bCs/>
          <w:sz w:val="24"/>
        </w:rPr>
        <w:t>具体缴纳方式和要求详见</w:t>
      </w:r>
      <w:r>
        <w:rPr>
          <w:rFonts w:hint="eastAsia" w:cs="宋体" w:asciiTheme="minorEastAsia" w:hAnsiTheme="minorEastAsia" w:eastAsiaTheme="minorEastAsia"/>
          <w:bCs/>
          <w:sz w:val="24"/>
          <w:lang w:val="zh-CN"/>
        </w:rPr>
        <w:t>磋商文件</w:t>
      </w: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zh-CN"/>
        </w:rPr>
        <w:t>第二章</w:t>
      </w:r>
      <w:r>
        <w:rPr>
          <w:rFonts w:hint="eastAsia" w:ascii="宋体" w:hAnsi="宋体" w:cs="宋体"/>
          <w:bCs/>
          <w:sz w:val="24"/>
        </w:rPr>
        <w:t>供应商须知</w:t>
      </w:r>
      <w:r>
        <w:rPr>
          <w:rFonts w:hint="eastAsia" w:cs="宋体" w:asciiTheme="minorEastAsia" w:hAnsiTheme="minorEastAsia" w:eastAsiaTheme="minorEastAsia"/>
          <w:bCs/>
          <w:sz w:val="24"/>
        </w:rPr>
        <w:t>”</w:t>
      </w:r>
      <w:r>
        <w:rPr>
          <w:rFonts w:ascii="宋体" w:hAnsi="宋体" w:cs="宋体"/>
          <w:bCs/>
          <w:sz w:val="24"/>
        </w:rPr>
        <w:t>。</w:t>
      </w:r>
    </w:p>
    <w:p>
      <w:pPr>
        <w:adjustRightInd w:val="0"/>
        <w:snapToGrid w:val="0"/>
        <w:spacing w:line="360" w:lineRule="auto"/>
        <w:ind w:firstLine="480" w:firstLineChars="200"/>
        <w:rPr>
          <w:rFonts w:ascii="宋体" w:hAnsi="宋体" w:cs="宋体"/>
          <w:bCs/>
          <w:sz w:val="24"/>
        </w:rPr>
      </w:pP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附：采购人地址</w:t>
      </w:r>
    </w:p>
    <w:p>
      <w:pPr>
        <w:snapToGrid w:val="0"/>
        <w:spacing w:line="288" w:lineRule="auto"/>
        <w:ind w:firstLine="420" w:firstLineChars="200"/>
        <w:jc w:val="center"/>
        <w:rPr>
          <w:rFonts w:ascii="宋体" w:hAnsi="宋体" w:cs="宋体"/>
          <w:color w:val="000000"/>
          <w:szCs w:val="21"/>
        </w:rPr>
      </w:pPr>
      <w:r>
        <w:rPr>
          <w:szCs w:val="21"/>
        </w:rPr>
        <w:drawing>
          <wp:inline distT="0" distB="0" distL="0" distR="0">
            <wp:extent cx="2771775" cy="1891665"/>
            <wp:effectExtent l="0" t="0" r="0" b="0"/>
            <wp:docPr id="1" name="图片 1" descr="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图"/>
                    <pic:cNvPicPr>
                      <a:picLocks noChangeAspect="1" noChangeArrowheads="1"/>
                    </pic:cNvPicPr>
                  </pic:nvPicPr>
                  <pic:blipFill>
                    <a:blip r:embed="rId7" cstate="print">
                      <a:extLst>
                        <a:ext uri="{28A0092B-C50C-407E-A947-70E740481C1C}">
                          <a14:useLocalDpi xmlns:a14="http://schemas.microsoft.com/office/drawing/2010/main" val="0"/>
                        </a:ext>
                      </a:extLst>
                    </a:blip>
                    <a:srcRect b="2893"/>
                    <a:stretch>
                      <a:fillRect/>
                    </a:stretch>
                  </pic:blipFill>
                  <pic:spPr>
                    <a:xfrm>
                      <a:off x="0" y="0"/>
                      <a:ext cx="2785404" cy="1901517"/>
                    </a:xfrm>
                    <a:prstGeom prst="rect">
                      <a:avLst/>
                    </a:prstGeom>
                    <a:noFill/>
                    <a:ln>
                      <a:noFill/>
                    </a:ln>
                  </pic:spPr>
                </pic:pic>
              </a:graphicData>
            </a:graphic>
          </wp:inline>
        </w:drawing>
      </w:r>
    </w:p>
    <w:p>
      <w:pPr>
        <w:pStyle w:val="17"/>
        <w:adjustRightInd w:val="0"/>
        <w:snapToGrid w:val="0"/>
        <w:spacing w:before="159" w:beforeLines="50" w:after="159" w:afterLines="50" w:line="600" w:lineRule="exact"/>
        <w:ind w:firstLine="0"/>
        <w:jc w:val="center"/>
        <w:outlineLvl w:val="0"/>
        <w:rPr>
          <w:rFonts w:ascii="宋体" w:cs="宋体"/>
          <w:b/>
          <w:bCs/>
          <w:sz w:val="44"/>
          <w:szCs w:val="44"/>
        </w:rPr>
      </w:pPr>
      <w:r>
        <w:rPr>
          <w:rFonts w:hint="eastAsia" w:ascii="宋体" w:cs="宋体"/>
          <w:b/>
          <w:bCs/>
          <w:sz w:val="36"/>
          <w:szCs w:val="36"/>
        </w:rPr>
        <w:br w:type="page"/>
      </w:r>
      <w:bookmarkStart w:id="1" w:name="_Toc27660563"/>
      <w:r>
        <w:rPr>
          <w:rFonts w:hint="eastAsia" w:cs="宋体" w:asciiTheme="minorEastAsia" w:hAnsiTheme="minorEastAsia" w:eastAsiaTheme="minorEastAsia"/>
          <w:b/>
          <w:bCs/>
          <w:sz w:val="36"/>
        </w:rPr>
        <w:t>第二章  供应商须知</w:t>
      </w:r>
      <w:bookmarkEnd w:id="1"/>
    </w:p>
    <w:p>
      <w:pPr>
        <w:adjustRightInd w:val="0"/>
        <w:snapToGrid w:val="0"/>
        <w:spacing w:line="360" w:lineRule="auto"/>
        <w:jc w:val="center"/>
        <w:rPr>
          <w:rFonts w:ascii="宋体" w:hAnsi="宋体" w:cs="宋体"/>
          <w:b/>
          <w:bCs/>
          <w:sz w:val="32"/>
          <w:szCs w:val="32"/>
        </w:rPr>
      </w:pPr>
      <w:r>
        <w:rPr>
          <w:rFonts w:hint="eastAsia" w:ascii="宋体" w:hAnsi="宋体" w:cs="宋体"/>
          <w:b/>
          <w:bCs/>
          <w:sz w:val="32"/>
          <w:szCs w:val="32"/>
        </w:rPr>
        <w:t>一、总    则</w:t>
      </w:r>
    </w:p>
    <w:p>
      <w:pPr>
        <w:adjustRightInd w:val="0"/>
        <w:snapToGrid w:val="0"/>
        <w:spacing w:line="360" w:lineRule="auto"/>
        <w:rPr>
          <w:rFonts w:ascii="宋体" w:hAnsi="宋体" w:cs="宋体"/>
          <w:b/>
          <w:bCs/>
          <w:sz w:val="24"/>
        </w:rPr>
      </w:pPr>
      <w:r>
        <w:rPr>
          <w:rFonts w:hint="eastAsia" w:ascii="宋体" w:hAnsi="宋体" w:cs="宋体"/>
          <w:b/>
          <w:bCs/>
          <w:sz w:val="24"/>
        </w:rPr>
        <w:t>1、适用范围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1.1本竞争性磋商文件仅适用于本次磋商邀请中所述项目的采购。</w:t>
      </w:r>
    </w:p>
    <w:p>
      <w:pPr>
        <w:adjustRightInd w:val="0"/>
        <w:snapToGrid w:val="0"/>
        <w:spacing w:line="360" w:lineRule="auto"/>
        <w:jc w:val="left"/>
        <w:rPr>
          <w:rFonts w:ascii="宋体" w:hAnsi="宋体" w:cs="宋体"/>
          <w:b/>
          <w:bCs/>
          <w:sz w:val="24"/>
        </w:rPr>
      </w:pPr>
      <w:r>
        <w:rPr>
          <w:rFonts w:hint="eastAsia" w:ascii="宋体" w:hAnsi="宋体" w:cs="宋体"/>
          <w:b/>
          <w:bCs/>
          <w:sz w:val="24"/>
        </w:rPr>
        <w:t>2、合格的供应商</w:t>
      </w:r>
    </w:p>
    <w:p>
      <w:pPr>
        <w:adjustRightInd w:val="0"/>
        <w:snapToGrid w:val="0"/>
        <w:spacing w:line="360" w:lineRule="auto"/>
        <w:ind w:firstLine="480" w:firstLineChars="200"/>
        <w:jc w:val="left"/>
        <w:rPr>
          <w:rFonts w:hint="eastAsia" w:ascii="宋体" w:hAnsi="宋体" w:eastAsia="宋体" w:cs="宋体"/>
          <w:sz w:val="24"/>
          <w:lang w:eastAsia="zh-CN"/>
        </w:rPr>
      </w:pPr>
      <w:r>
        <w:rPr>
          <w:rFonts w:hint="eastAsia" w:ascii="宋体" w:hAnsi="宋体" w:cs="宋体"/>
          <w:sz w:val="24"/>
        </w:rPr>
        <w:t>2.1供应商必须满足第一章磋商邀请中供应商资格要求的规定</w:t>
      </w:r>
      <w:r>
        <w:rPr>
          <w:rFonts w:hint="eastAsia" w:ascii="宋体" w:hAnsi="宋体" w:cs="宋体"/>
          <w:sz w:val="24"/>
          <w:lang w:eastAsia="zh-CN"/>
        </w:rPr>
        <w:t>。</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2.2供应商必须满足磋商文件中实质性条款的规定。</w:t>
      </w:r>
    </w:p>
    <w:p>
      <w:pPr>
        <w:adjustRightInd w:val="0"/>
        <w:snapToGrid w:val="0"/>
        <w:spacing w:line="360" w:lineRule="auto"/>
        <w:rPr>
          <w:rFonts w:ascii="宋体" w:hAnsi="宋体" w:cs="宋体"/>
          <w:b/>
          <w:sz w:val="24"/>
        </w:rPr>
      </w:pPr>
      <w:r>
        <w:rPr>
          <w:rFonts w:hint="eastAsia" w:ascii="宋体" w:hAnsi="宋体" w:cs="宋体"/>
          <w:b/>
          <w:sz w:val="24"/>
        </w:rPr>
        <w:t>3、法律适用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3.1《中华人民共和国政府采购法》、《中华人民共和国政府采购法实施条例》、《政府采购竞争性磋商采购方式管理暂行办法》等有关法律、规章和规定等。</w:t>
      </w:r>
    </w:p>
    <w:p>
      <w:pPr>
        <w:adjustRightInd w:val="0"/>
        <w:snapToGrid w:val="0"/>
        <w:spacing w:line="360" w:lineRule="auto"/>
        <w:rPr>
          <w:rFonts w:ascii="宋体" w:hAnsi="宋体" w:cs="宋体"/>
          <w:b/>
          <w:sz w:val="24"/>
        </w:rPr>
      </w:pPr>
      <w:r>
        <w:rPr>
          <w:rFonts w:hint="eastAsia" w:ascii="宋体" w:hAnsi="宋体" w:cs="宋体"/>
          <w:b/>
          <w:sz w:val="24"/>
        </w:rPr>
        <w:t>4、磋商费用</w:t>
      </w:r>
    </w:p>
    <w:p>
      <w:pPr>
        <w:pStyle w:val="8"/>
        <w:adjustRightInd w:val="0"/>
        <w:snapToGrid w:val="0"/>
        <w:spacing w:line="360" w:lineRule="auto"/>
        <w:ind w:left="0" w:leftChars="0" w:firstLine="480" w:firstLineChars="200"/>
        <w:rPr>
          <w:rFonts w:ascii="宋体" w:hAnsi="宋体" w:cs="宋体"/>
          <w:sz w:val="24"/>
        </w:rPr>
      </w:pPr>
      <w:r>
        <w:rPr>
          <w:rFonts w:hint="eastAsia" w:ascii="宋体" w:hAnsi="宋体" w:cs="宋体"/>
          <w:sz w:val="24"/>
        </w:rPr>
        <w:t>4.1供应商应自行承担所有与参加磋商有关的费用。不论磋商的结果如何，采购人在任何情况下均无义务和责任承担这些费用。</w:t>
      </w:r>
    </w:p>
    <w:p>
      <w:pPr>
        <w:tabs>
          <w:tab w:val="left" w:pos="900"/>
        </w:tabs>
        <w:adjustRightInd w:val="0"/>
        <w:snapToGrid w:val="0"/>
        <w:spacing w:line="360" w:lineRule="auto"/>
        <w:ind w:firstLine="480" w:firstLineChars="200"/>
        <w:rPr>
          <w:rFonts w:ascii="宋体" w:hAnsi="宋体"/>
          <w:sz w:val="24"/>
        </w:rPr>
      </w:pPr>
      <w:r>
        <w:rPr>
          <w:rFonts w:hint="eastAsia" w:ascii="宋体" w:hAnsi="宋体" w:cs="宋体"/>
          <w:sz w:val="24"/>
        </w:rPr>
        <w:t>4.2</w:t>
      </w:r>
      <w:r>
        <w:rPr>
          <w:rFonts w:hint="eastAsia" w:ascii="宋体" w:hAnsi="宋体"/>
          <w:sz w:val="24"/>
        </w:rPr>
        <w:t>本次磋商采购采购人不收取磋商文件工本费与成交服务费。</w:t>
      </w:r>
    </w:p>
    <w:p>
      <w:pPr>
        <w:adjustRightInd w:val="0"/>
        <w:snapToGrid w:val="0"/>
        <w:spacing w:line="360" w:lineRule="auto"/>
        <w:rPr>
          <w:rFonts w:ascii="宋体" w:hAnsi="宋体" w:cs="宋体"/>
          <w:b/>
          <w:sz w:val="24"/>
        </w:rPr>
      </w:pPr>
      <w:r>
        <w:rPr>
          <w:rFonts w:hint="eastAsia" w:ascii="宋体" w:hAnsi="宋体" w:cs="宋体"/>
          <w:b/>
          <w:sz w:val="24"/>
        </w:rPr>
        <w:t>5、踏勘现场</w:t>
      </w:r>
    </w:p>
    <w:p>
      <w:pPr>
        <w:pStyle w:val="8"/>
        <w:adjustRightInd w:val="0"/>
        <w:snapToGrid w:val="0"/>
        <w:spacing w:line="360" w:lineRule="auto"/>
        <w:ind w:left="0" w:leftChars="0" w:firstLine="480" w:firstLineChars="200"/>
        <w:rPr>
          <w:rFonts w:hint="eastAsia" w:ascii="宋体" w:hAnsi="宋体" w:eastAsia="宋体" w:cs="宋体"/>
          <w:sz w:val="24"/>
          <w:lang w:eastAsia="zh-CN"/>
        </w:rPr>
      </w:pPr>
      <w:r>
        <w:rPr>
          <w:rFonts w:hint="eastAsia" w:ascii="宋体" w:hAnsi="宋体" w:cs="宋体"/>
          <w:sz w:val="24"/>
        </w:rPr>
        <w:t>5.1供应商根据需要自行踏勘项目现</w:t>
      </w:r>
      <w:r>
        <w:rPr>
          <w:rFonts w:hint="eastAsia" w:ascii="宋体" w:hAnsi="宋体" w:cs="宋体"/>
          <w:sz w:val="24"/>
          <w:highlight w:val="none"/>
        </w:rPr>
        <w:t>场且踏勘现场发生的费用自理。</w:t>
      </w:r>
      <w:r>
        <w:rPr>
          <w:rFonts w:hint="eastAsia" w:ascii="宋体" w:hAnsi="宋体" w:cs="宋体"/>
          <w:sz w:val="24"/>
          <w:highlight w:val="none"/>
          <w:lang w:eastAsia="zh-CN"/>
        </w:rPr>
        <w:t>如需协助，请联系</w:t>
      </w:r>
      <w:r>
        <w:rPr>
          <w:rFonts w:hint="eastAsia" w:ascii="宋体" w:hAnsi="宋体" w:cs="宋体"/>
          <w:bCs/>
          <w:sz w:val="24"/>
          <w:highlight w:val="none"/>
        </w:rPr>
        <w:t>陈老师</w:t>
      </w:r>
      <w:r>
        <w:rPr>
          <w:rFonts w:hint="eastAsia" w:ascii="宋体" w:hAnsi="宋体" w:cs="宋体"/>
          <w:bCs/>
          <w:sz w:val="24"/>
          <w:highlight w:val="none"/>
          <w:lang w:eastAsia="zh-CN"/>
        </w:rPr>
        <w:t>，</w:t>
      </w:r>
      <w:r>
        <w:rPr>
          <w:rFonts w:hint="eastAsia" w:ascii="宋体" w:hAnsi="宋体" w:cs="宋体"/>
          <w:bCs/>
          <w:sz w:val="24"/>
          <w:highlight w:val="none"/>
        </w:rPr>
        <w:t>联系电话：</w:t>
      </w:r>
      <w:r>
        <w:rPr>
          <w:rFonts w:ascii="宋体" w:hAnsi="宋体" w:cs="宋体"/>
          <w:bCs/>
          <w:sz w:val="24"/>
          <w:highlight w:val="none"/>
        </w:rPr>
        <w:t>13611977413</w:t>
      </w:r>
      <w:r>
        <w:rPr>
          <w:rFonts w:hint="eastAsia" w:ascii="宋体" w:hAnsi="宋体" w:cs="宋体"/>
          <w:bCs/>
          <w:sz w:val="24"/>
          <w:highlight w:val="none"/>
          <w:lang w:eastAsia="zh-CN"/>
        </w:rPr>
        <w:t>。</w:t>
      </w:r>
    </w:p>
    <w:p>
      <w:pPr>
        <w:pStyle w:val="8"/>
        <w:adjustRightInd w:val="0"/>
        <w:snapToGrid w:val="0"/>
        <w:spacing w:line="360" w:lineRule="auto"/>
        <w:ind w:left="0" w:leftChars="0" w:firstLine="480" w:firstLineChars="200"/>
        <w:rPr>
          <w:rFonts w:ascii="宋体" w:hAnsi="宋体" w:cs="宋体"/>
          <w:sz w:val="24"/>
        </w:rPr>
      </w:pPr>
      <w:r>
        <w:rPr>
          <w:rFonts w:hint="eastAsia" w:ascii="宋体" w:hAnsi="宋体" w:cs="宋体"/>
          <w:sz w:val="24"/>
        </w:rPr>
        <w:t>5.2供应商自行负责在踏勘现场中所发生的人员伤亡和财产损失。</w:t>
      </w:r>
    </w:p>
    <w:p>
      <w:pPr>
        <w:pStyle w:val="8"/>
        <w:adjustRightInd w:val="0"/>
        <w:snapToGrid w:val="0"/>
        <w:spacing w:line="360" w:lineRule="auto"/>
        <w:ind w:left="0" w:leftChars="0" w:firstLine="480" w:firstLineChars="200"/>
        <w:rPr>
          <w:rFonts w:ascii="宋体" w:hAnsi="宋体" w:cs="宋体"/>
          <w:sz w:val="24"/>
        </w:rPr>
      </w:pPr>
      <w:r>
        <w:rPr>
          <w:rFonts w:hint="eastAsia" w:ascii="宋体" w:hAnsi="宋体" w:cs="宋体"/>
          <w:sz w:val="24"/>
        </w:rPr>
        <w:t>5.3供应商一旦参加磋商，即被视为充分熟悉本项目所在地与履行合同有关的各种情况，包括自然环境、气候条件、劳动力及公用设施等。</w:t>
      </w:r>
    </w:p>
    <w:p>
      <w:pPr>
        <w:adjustRightInd w:val="0"/>
        <w:snapToGrid w:val="0"/>
        <w:spacing w:line="360" w:lineRule="auto"/>
        <w:rPr>
          <w:rFonts w:ascii="宋体" w:hAnsi="宋体" w:cs="宋体"/>
          <w:b/>
          <w:sz w:val="24"/>
        </w:rPr>
      </w:pPr>
      <w:r>
        <w:rPr>
          <w:rFonts w:hint="eastAsia" w:ascii="宋体" w:hAnsi="宋体" w:cs="宋体"/>
          <w:b/>
          <w:sz w:val="24"/>
        </w:rPr>
        <w:t>6、磋商文件的约束力</w:t>
      </w:r>
    </w:p>
    <w:p>
      <w:pPr>
        <w:pStyle w:val="8"/>
        <w:adjustRightInd w:val="0"/>
        <w:snapToGrid w:val="0"/>
        <w:spacing w:line="360" w:lineRule="auto"/>
        <w:ind w:left="0" w:leftChars="0" w:firstLine="480" w:firstLineChars="200"/>
        <w:rPr>
          <w:rFonts w:ascii="宋体" w:hAnsi="宋体" w:cs="宋体"/>
          <w:b/>
          <w:bCs/>
          <w:sz w:val="28"/>
          <w:szCs w:val="28"/>
        </w:rPr>
      </w:pPr>
      <w:r>
        <w:rPr>
          <w:rFonts w:hint="eastAsia" w:ascii="宋体" w:hAnsi="宋体" w:cs="宋体"/>
          <w:sz w:val="24"/>
        </w:rPr>
        <w:t>6.1供应商一旦参加磋商，即被认为接受了本磋商文件中的规定和约束。</w:t>
      </w:r>
    </w:p>
    <w:p>
      <w:pPr>
        <w:adjustRightInd w:val="0"/>
        <w:snapToGrid w:val="0"/>
        <w:spacing w:line="360" w:lineRule="auto"/>
        <w:jc w:val="center"/>
        <w:rPr>
          <w:rFonts w:ascii="宋体" w:hAnsi="宋体" w:cs="宋体"/>
          <w:b/>
          <w:bCs/>
          <w:sz w:val="32"/>
          <w:szCs w:val="32"/>
        </w:rPr>
      </w:pPr>
      <w:r>
        <w:rPr>
          <w:rFonts w:hint="eastAsia" w:ascii="宋体" w:hAnsi="宋体" w:cs="宋体"/>
          <w:b/>
          <w:bCs/>
          <w:sz w:val="32"/>
          <w:szCs w:val="32"/>
        </w:rPr>
        <w:t>二、磋商文件</w:t>
      </w:r>
    </w:p>
    <w:p>
      <w:pPr>
        <w:adjustRightInd w:val="0"/>
        <w:snapToGrid w:val="0"/>
        <w:spacing w:line="360" w:lineRule="auto"/>
        <w:rPr>
          <w:rFonts w:ascii="宋体" w:hAnsi="宋体" w:cs="宋体"/>
          <w:b/>
          <w:bCs/>
          <w:sz w:val="24"/>
        </w:rPr>
      </w:pPr>
      <w:r>
        <w:rPr>
          <w:rFonts w:hint="eastAsia" w:ascii="宋体" w:hAnsi="宋体" w:cs="宋体"/>
          <w:b/>
          <w:bCs/>
          <w:sz w:val="24"/>
        </w:rPr>
        <w:t>7、磋商文件的组成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7.1磋商文件包括：</w:t>
      </w:r>
    </w:p>
    <w:p>
      <w:pPr>
        <w:adjustRightInd w:val="0"/>
        <w:snapToGrid w:val="0"/>
        <w:spacing w:line="360" w:lineRule="auto"/>
        <w:rPr>
          <w:rFonts w:hint="eastAsia" w:ascii="宋体" w:hAnsi="宋体" w:eastAsia="宋体" w:cs="宋体"/>
          <w:sz w:val="24"/>
          <w:lang w:eastAsia="zh-CN"/>
        </w:rPr>
      </w:pPr>
      <w:r>
        <w:rPr>
          <w:rFonts w:hint="eastAsia" w:ascii="宋体" w:hAnsi="宋体" w:cs="宋体"/>
          <w:sz w:val="24"/>
        </w:rPr>
        <w:t xml:space="preserve">     （1）磋商邀请</w:t>
      </w:r>
      <w:r>
        <w:rPr>
          <w:rFonts w:hint="eastAsia" w:ascii="宋体" w:hAnsi="宋体" w:cs="宋体"/>
          <w:sz w:val="24"/>
          <w:lang w:eastAsia="zh-CN"/>
        </w:rPr>
        <w:t>；</w:t>
      </w:r>
    </w:p>
    <w:p>
      <w:pPr>
        <w:adjustRightInd w:val="0"/>
        <w:snapToGrid w:val="0"/>
        <w:spacing w:line="360" w:lineRule="auto"/>
        <w:rPr>
          <w:rFonts w:hint="eastAsia" w:ascii="宋体" w:hAnsi="宋体" w:eastAsia="宋体" w:cs="宋体"/>
          <w:sz w:val="24"/>
          <w:lang w:eastAsia="zh-CN"/>
        </w:rPr>
      </w:pPr>
      <w:r>
        <w:rPr>
          <w:rFonts w:hint="eastAsia" w:ascii="宋体" w:hAnsi="宋体" w:cs="宋体"/>
          <w:sz w:val="24"/>
        </w:rPr>
        <w:t xml:space="preserve">     （2）供应商须知</w:t>
      </w:r>
      <w:r>
        <w:rPr>
          <w:rFonts w:hint="eastAsia" w:ascii="宋体" w:hAnsi="宋体" w:cs="宋体"/>
          <w:sz w:val="24"/>
          <w:lang w:eastAsia="zh-CN"/>
        </w:rPr>
        <w:t>；</w:t>
      </w:r>
    </w:p>
    <w:p>
      <w:pPr>
        <w:adjustRightInd w:val="0"/>
        <w:snapToGrid w:val="0"/>
        <w:spacing w:line="360" w:lineRule="auto"/>
        <w:rPr>
          <w:rFonts w:hint="eastAsia" w:ascii="宋体" w:hAnsi="宋体" w:eastAsia="宋体" w:cs="宋体"/>
          <w:sz w:val="24"/>
          <w:lang w:eastAsia="zh-CN"/>
        </w:rPr>
      </w:pPr>
      <w:r>
        <w:rPr>
          <w:rFonts w:hint="eastAsia" w:ascii="宋体" w:hAnsi="宋体" w:cs="宋体"/>
          <w:sz w:val="24"/>
        </w:rPr>
        <w:t xml:space="preserve">     （3）评审标准</w:t>
      </w:r>
      <w:r>
        <w:rPr>
          <w:rFonts w:hint="eastAsia" w:ascii="宋体" w:hAnsi="宋体" w:cs="宋体"/>
          <w:sz w:val="24"/>
          <w:lang w:eastAsia="zh-CN"/>
        </w:rPr>
        <w:t>；</w:t>
      </w:r>
    </w:p>
    <w:p>
      <w:pPr>
        <w:adjustRightInd w:val="0"/>
        <w:snapToGrid w:val="0"/>
        <w:spacing w:line="360" w:lineRule="auto"/>
        <w:rPr>
          <w:rFonts w:hint="eastAsia" w:ascii="宋体" w:hAnsi="宋体" w:eastAsia="宋体" w:cs="宋体"/>
          <w:sz w:val="24"/>
          <w:lang w:eastAsia="zh-CN"/>
        </w:rPr>
      </w:pPr>
      <w:r>
        <w:rPr>
          <w:rFonts w:hint="eastAsia" w:ascii="宋体" w:hAnsi="宋体" w:cs="宋体"/>
          <w:sz w:val="24"/>
        </w:rPr>
        <w:t xml:space="preserve">     （4）合同主要条款</w:t>
      </w:r>
      <w:r>
        <w:rPr>
          <w:rFonts w:hint="eastAsia" w:ascii="宋体" w:hAnsi="宋体" w:cs="宋体"/>
          <w:sz w:val="24"/>
          <w:lang w:eastAsia="zh-CN"/>
        </w:rPr>
        <w:t>；</w:t>
      </w:r>
    </w:p>
    <w:p>
      <w:pPr>
        <w:adjustRightInd w:val="0"/>
        <w:snapToGrid w:val="0"/>
        <w:spacing w:line="360" w:lineRule="auto"/>
        <w:ind w:firstLine="600" w:firstLineChars="250"/>
        <w:rPr>
          <w:rFonts w:hint="eastAsia" w:ascii="宋体" w:hAnsi="宋体" w:eastAsia="宋体" w:cs="宋体"/>
          <w:sz w:val="24"/>
          <w:lang w:eastAsia="zh-CN"/>
        </w:rPr>
      </w:pPr>
      <w:r>
        <w:rPr>
          <w:rFonts w:hint="eastAsia" w:ascii="宋体" w:hAnsi="宋体" w:cs="宋体"/>
          <w:sz w:val="24"/>
        </w:rPr>
        <w:t>（5）项目采购需求</w:t>
      </w:r>
      <w:r>
        <w:rPr>
          <w:rFonts w:hint="eastAsia" w:ascii="宋体" w:hAnsi="宋体" w:cs="宋体"/>
          <w:sz w:val="24"/>
          <w:lang w:eastAsia="zh-CN"/>
        </w:rPr>
        <w:t>；</w:t>
      </w:r>
    </w:p>
    <w:p>
      <w:pPr>
        <w:adjustRightInd w:val="0"/>
        <w:snapToGrid w:val="0"/>
        <w:spacing w:line="360" w:lineRule="auto"/>
        <w:ind w:firstLine="600" w:firstLineChars="250"/>
        <w:rPr>
          <w:rFonts w:hint="eastAsia" w:ascii="宋体" w:hAnsi="宋体" w:eastAsia="宋体" w:cs="宋体"/>
          <w:sz w:val="24"/>
          <w:lang w:eastAsia="zh-CN"/>
        </w:rPr>
      </w:pPr>
      <w:r>
        <w:rPr>
          <w:rFonts w:hint="eastAsia" w:ascii="宋体" w:hAnsi="宋体" w:cs="宋体"/>
          <w:sz w:val="24"/>
        </w:rPr>
        <w:t>（6）响应文</w:t>
      </w:r>
      <w:bookmarkStart w:id="6" w:name="_GoBack"/>
      <w:bookmarkEnd w:id="6"/>
      <w:r>
        <w:rPr>
          <w:rFonts w:hint="eastAsia" w:ascii="宋体" w:hAnsi="宋体" w:cs="宋体"/>
          <w:sz w:val="24"/>
        </w:rPr>
        <w:t>件格式</w:t>
      </w:r>
      <w:r>
        <w:rPr>
          <w:rFonts w:hint="eastAsia" w:ascii="宋体" w:hAnsi="宋体" w:cs="宋体"/>
          <w:sz w:val="24"/>
          <w:lang w:eastAsia="zh-CN"/>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7.2根据本章第8条和第9条对磋商文件所作的澄清、更正、补充，构成磋商文件的组成部分。磋商文件的澄清、修改内容前后相互矛盾时，以发布时间在后的文件为准。</w:t>
      </w:r>
    </w:p>
    <w:p>
      <w:pPr>
        <w:adjustRightInd w:val="0"/>
        <w:snapToGrid w:val="0"/>
        <w:spacing w:line="360" w:lineRule="auto"/>
        <w:rPr>
          <w:rFonts w:ascii="宋体" w:hAnsi="宋体" w:cs="宋体"/>
          <w:b/>
          <w:bCs/>
          <w:sz w:val="24"/>
        </w:rPr>
      </w:pPr>
      <w:r>
        <w:rPr>
          <w:rFonts w:hint="eastAsia" w:ascii="宋体" w:hAnsi="宋体" w:cs="宋体"/>
          <w:b/>
          <w:bCs/>
          <w:sz w:val="24"/>
        </w:rPr>
        <w:t>8、磋商文件的澄清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8.1任何对磋商文件要求进行澄清的供应商，均应在响应文件递交截止时间三日前以书面形式通知采购人（在递送书面文件的同时请供应商将电子文档发送至采购人电子信箱，</w:t>
      </w:r>
      <w:r>
        <w:rPr>
          <w:rFonts w:ascii="宋体" w:hAnsi="宋体" w:cs="宋体"/>
          <w:sz w:val="24"/>
        </w:rPr>
        <w:t>ztb_hs@163.com</w:t>
      </w:r>
      <w:r>
        <w:rPr>
          <w:rFonts w:hint="eastAsia" w:ascii="宋体" w:hAnsi="宋体" w:cs="宋体"/>
          <w:sz w:val="24"/>
        </w:rPr>
        <w:t>），采购人对响应文件递交截止时间三日前收到的任何澄清要求将以书面形式（包括邮件或传真）予以答复。由于供应商所留联系方式有问题而导致采购人无法通知的，其责任由供应商自行承担。逾期递交对磋商文件要求进行澄清的，采购人可不予受理。</w:t>
      </w:r>
    </w:p>
    <w:p>
      <w:pPr>
        <w:adjustRightInd w:val="0"/>
        <w:snapToGrid w:val="0"/>
        <w:spacing w:line="360" w:lineRule="auto"/>
        <w:rPr>
          <w:rFonts w:ascii="宋体" w:hAnsi="宋体" w:cs="宋体"/>
          <w:b/>
          <w:bCs/>
          <w:sz w:val="24"/>
        </w:rPr>
      </w:pPr>
      <w:r>
        <w:rPr>
          <w:rFonts w:hint="eastAsia" w:ascii="宋体" w:hAnsi="宋体" w:cs="宋体"/>
          <w:b/>
          <w:bCs/>
          <w:sz w:val="24"/>
        </w:rPr>
        <w:t>9、磋商文件的更正或补充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9.1在磋商时间前，采购人可主动或在解答供应商提出的澄清问题时对磋商文件用更正公告的方式进行修正。</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9.2 对磋商文件的修改将在淮阴师范学院招标采购网（</w:t>
      </w:r>
      <w:r>
        <w:fldChar w:fldCharType="begin"/>
      </w:r>
      <w:r>
        <w:instrText xml:space="preserve"> HYPERLINK "http://ztb.hytc.edu.cn" </w:instrText>
      </w:r>
      <w:r>
        <w:fldChar w:fldCharType="separate"/>
      </w:r>
      <w:r>
        <w:rPr>
          <w:rFonts w:ascii="宋体" w:hAnsi="宋体" w:cs="宋体"/>
        </w:rPr>
        <w:t>http://ztb.hytc.edu.cn</w:t>
      </w:r>
      <w:r>
        <w:rPr>
          <w:rFonts w:ascii="宋体" w:hAnsi="宋体" w:cs="宋体"/>
        </w:rPr>
        <w:fldChar w:fldCharType="end"/>
      </w:r>
      <w:r>
        <w:rPr>
          <w:rFonts w:hint="eastAsia" w:ascii="宋体" w:hAnsi="宋体" w:cs="宋体"/>
          <w:sz w:val="24"/>
        </w:rPr>
        <w:t>）进行公告。更正公告将作为磋商文件的组成部分，对所有参加本次磋商的供应商都具有约束力。</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9.3为使供应商有足够的时间按磋商文件的更正要求编制响应文件，采购人将按照现行相关规定的要求推迟响应文件递交截止时间和磋商日期。</w:t>
      </w:r>
    </w:p>
    <w:p>
      <w:pPr>
        <w:adjustRightInd w:val="0"/>
        <w:snapToGrid w:val="0"/>
        <w:spacing w:line="360" w:lineRule="auto"/>
        <w:jc w:val="center"/>
        <w:rPr>
          <w:rFonts w:ascii="宋体" w:hAnsi="宋体" w:cs="宋体"/>
          <w:b/>
          <w:bCs/>
          <w:sz w:val="32"/>
          <w:szCs w:val="32"/>
        </w:rPr>
      </w:pPr>
      <w:r>
        <w:rPr>
          <w:rFonts w:hint="eastAsia" w:ascii="宋体" w:hAnsi="宋体" w:cs="宋体"/>
          <w:b/>
          <w:bCs/>
          <w:sz w:val="32"/>
          <w:szCs w:val="32"/>
        </w:rPr>
        <w:t>三、 响应文件</w:t>
      </w:r>
    </w:p>
    <w:p>
      <w:pPr>
        <w:adjustRightInd w:val="0"/>
        <w:snapToGrid w:val="0"/>
        <w:spacing w:line="360" w:lineRule="auto"/>
        <w:rPr>
          <w:rFonts w:ascii="宋体" w:hAnsi="宋体" w:cs="宋体"/>
          <w:b/>
          <w:bCs/>
          <w:sz w:val="24"/>
        </w:rPr>
      </w:pPr>
      <w:r>
        <w:rPr>
          <w:rFonts w:hint="eastAsia" w:ascii="宋体" w:hAnsi="宋体" w:cs="宋体"/>
          <w:b/>
          <w:bCs/>
          <w:sz w:val="24"/>
        </w:rPr>
        <w:t>10、响应文件的语言及度量衡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10.1响应文件以及供应商与采购人之间的所有书面往来均应使用简体中文书写。</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10.2除磋商文件中另有规定外，响应文件所使用的计量单位均须采用国家法定计量单位。</w:t>
      </w:r>
    </w:p>
    <w:p>
      <w:pPr>
        <w:adjustRightInd w:val="0"/>
        <w:snapToGrid w:val="0"/>
        <w:spacing w:line="360" w:lineRule="auto"/>
        <w:rPr>
          <w:rFonts w:ascii="宋体" w:hAnsi="宋体" w:cs="宋体"/>
          <w:b/>
          <w:bCs/>
          <w:sz w:val="24"/>
        </w:rPr>
      </w:pPr>
      <w:r>
        <w:rPr>
          <w:rFonts w:hint="eastAsia" w:ascii="宋体" w:hAnsi="宋体" w:cs="宋体"/>
          <w:b/>
          <w:bCs/>
          <w:sz w:val="24"/>
        </w:rPr>
        <w:t>11、响应文件的组成</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11.1供应商编写的响应文件应包括下列内容</w:t>
      </w:r>
      <w:r>
        <w:rPr>
          <w:rFonts w:hint="eastAsia" w:ascii="宋体" w:hAnsi="宋体" w:cs="宋体"/>
          <w:b/>
          <w:bCs/>
          <w:sz w:val="24"/>
        </w:rPr>
        <w:t>：</w:t>
      </w:r>
    </w:p>
    <w:p>
      <w:pPr>
        <w:widowControl/>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（1）磋商函;</w:t>
      </w:r>
    </w:p>
    <w:p>
      <w:pPr>
        <w:widowControl/>
        <w:adjustRightInd w:val="0"/>
        <w:snapToGrid w:val="0"/>
        <w:spacing w:line="360" w:lineRule="auto"/>
        <w:ind w:firstLine="480" w:firstLineChars="200"/>
        <w:jc w:val="left"/>
        <w:rPr>
          <w:rFonts w:ascii="宋体" w:hAnsi="宋体" w:cs="宋体"/>
          <w:bCs/>
          <w:sz w:val="24"/>
          <w:highlight w:val="none"/>
          <w:lang w:val="zh-CN"/>
        </w:rPr>
      </w:pPr>
      <w:r>
        <w:rPr>
          <w:rFonts w:hint="eastAsia" w:ascii="宋体" w:hAnsi="宋体" w:cs="宋体"/>
          <w:bCs/>
          <w:sz w:val="24"/>
          <w:highlight w:val="none"/>
          <w:lang w:val="zh-CN"/>
        </w:rPr>
        <w:t>（2）报价明细表；</w:t>
      </w:r>
    </w:p>
    <w:p>
      <w:pPr>
        <w:widowControl/>
        <w:adjustRightInd w:val="0"/>
        <w:snapToGrid w:val="0"/>
        <w:spacing w:line="360" w:lineRule="auto"/>
        <w:ind w:firstLine="480" w:firstLineChars="200"/>
        <w:jc w:val="left"/>
        <w:rPr>
          <w:rFonts w:ascii="宋体" w:hAnsi="宋体" w:cs="宋体"/>
          <w:bCs/>
          <w:sz w:val="24"/>
          <w:highlight w:val="none"/>
          <w:lang w:val="zh-CN"/>
        </w:rPr>
      </w:pPr>
      <w:r>
        <w:rPr>
          <w:rFonts w:hint="eastAsia" w:ascii="宋体" w:hAnsi="宋体" w:cs="宋体"/>
          <w:sz w:val="24"/>
          <w:highlight w:val="none"/>
        </w:rPr>
        <w:t>（3）</w:t>
      </w:r>
      <w:r>
        <w:rPr>
          <w:rFonts w:hint="eastAsia" w:ascii="宋体" w:hAnsi="宋体" w:cs="宋体"/>
          <w:bCs/>
          <w:sz w:val="24"/>
          <w:highlight w:val="none"/>
          <w:lang w:val="zh-CN"/>
        </w:rPr>
        <w:t>技术要求响应偏离表（设备部分）；</w:t>
      </w:r>
    </w:p>
    <w:p>
      <w:pPr>
        <w:widowControl/>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（4）服务承诺；</w:t>
      </w:r>
    </w:p>
    <w:p>
      <w:pPr>
        <w:widowControl/>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（5）资格审查时供应商必须提供的资格证明文件；</w:t>
      </w:r>
    </w:p>
    <w:p>
      <w:pPr>
        <w:widowControl/>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（6）涉及无效响应文件条款中供应商必须提供的证明文件；</w:t>
      </w:r>
      <w:r>
        <w:rPr>
          <w:rFonts w:ascii="宋体" w:hAnsi="宋体" w:cs="宋体"/>
          <w:sz w:val="24"/>
          <w:highlight w:val="none"/>
        </w:rPr>
        <w:t xml:space="preserve"> </w:t>
      </w:r>
    </w:p>
    <w:p>
      <w:pPr>
        <w:widowControl/>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（7）综合评分时供应商需提供的证明文件；</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highlight w:val="none"/>
        </w:rPr>
        <w:t>（</w:t>
      </w:r>
      <w:r>
        <w:rPr>
          <w:rFonts w:hint="eastAsia" w:ascii="宋体" w:hAnsi="宋体" w:cs="宋体"/>
          <w:sz w:val="24"/>
          <w:highlight w:val="none"/>
          <w:lang w:val="en-US" w:eastAsia="zh-CN"/>
        </w:rPr>
        <w:t>8</w:t>
      </w:r>
      <w:r>
        <w:rPr>
          <w:rFonts w:hint="eastAsia" w:ascii="宋体" w:hAnsi="宋体" w:cs="宋体"/>
          <w:sz w:val="24"/>
          <w:highlight w:val="none"/>
        </w:rPr>
        <w:t>）供应商认为有必要提供并说明的其它资料。</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11.2供应商编写的响应文件应按磋商文件第六章“响应文件格式”中的要求进行编写。</w:t>
      </w:r>
    </w:p>
    <w:p>
      <w:pPr>
        <w:adjustRightInd w:val="0"/>
        <w:snapToGrid w:val="0"/>
        <w:spacing w:line="360" w:lineRule="auto"/>
        <w:rPr>
          <w:rFonts w:ascii="宋体" w:hAnsi="宋体" w:cs="宋体"/>
          <w:b/>
          <w:bCs/>
          <w:sz w:val="24"/>
        </w:rPr>
      </w:pPr>
      <w:r>
        <w:rPr>
          <w:rFonts w:hint="eastAsia" w:ascii="宋体" w:hAnsi="宋体" w:cs="宋体"/>
          <w:b/>
          <w:bCs/>
          <w:sz w:val="24"/>
        </w:rPr>
        <w:t>12、磋商报价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12.1本项目采用总承包方式，供应商的报价应包含项目采购需求中所述的所有货物、工程和服务的价格以及相关人工、配件、辅材、机械、管理、利润、税费、</w:t>
      </w:r>
      <w:r>
        <w:rPr>
          <w:rFonts w:hint="eastAsia" w:ascii="宋体" w:hAnsi="宋体" w:cs="宋体"/>
          <w:bCs/>
          <w:sz w:val="24"/>
        </w:rPr>
        <w:t>售后服务</w:t>
      </w:r>
      <w:r>
        <w:rPr>
          <w:rFonts w:hint="eastAsia" w:ascii="宋体" w:hAnsi="宋体" w:cs="宋体"/>
          <w:sz w:val="24"/>
        </w:rPr>
        <w:t>等其它有关的所有费用。成交后且在采购范围内的，采购人不再增加任何费用。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12.2供应商的任何错漏、优惠、竞争性报价不得作为减轻责任、减少服务、增加收费、降低质量的理由。</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12.3本次项目不接受备选的磋商方案或有选择的报价。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12.4磋商报价应以人民币为货币单位。</w:t>
      </w:r>
    </w:p>
    <w:p>
      <w:pPr>
        <w:adjustRightInd w:val="0"/>
        <w:snapToGrid w:val="0"/>
        <w:spacing w:line="360" w:lineRule="auto"/>
        <w:rPr>
          <w:rFonts w:ascii="宋体" w:hAnsi="宋体" w:cs="宋体"/>
          <w:b/>
          <w:bCs/>
          <w:sz w:val="24"/>
        </w:rPr>
      </w:pPr>
      <w:r>
        <w:rPr>
          <w:rFonts w:hint="eastAsia" w:ascii="宋体" w:hAnsi="宋体" w:cs="宋体"/>
          <w:b/>
          <w:bCs/>
          <w:sz w:val="24"/>
        </w:rPr>
        <w:t>13.服务承诺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13.1供应商的服务承诺应不低于磋商文件中服务要求的标准。</w:t>
      </w:r>
    </w:p>
    <w:p>
      <w:pPr>
        <w:adjustRightInd w:val="0"/>
        <w:snapToGrid w:val="0"/>
        <w:spacing w:line="360" w:lineRule="auto"/>
        <w:rPr>
          <w:rFonts w:ascii="宋体" w:hAnsi="宋体" w:cs="宋体"/>
          <w:b/>
          <w:bCs/>
          <w:sz w:val="24"/>
        </w:rPr>
      </w:pPr>
      <w:r>
        <w:rPr>
          <w:rFonts w:hint="eastAsia" w:ascii="宋体" w:hAnsi="宋体" w:cs="宋体"/>
          <w:b/>
          <w:bCs/>
          <w:sz w:val="24"/>
        </w:rPr>
        <w:t>14.证明供应商资格的文件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14.1供应商应按要求提交资格证明文件及符合磋商文件规定的文件。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14.2供应商除必须具有履行合同所需提供的货物和服务的能力外，还必须具备相应的的财务、技术方面的能力。</w:t>
      </w:r>
    </w:p>
    <w:p>
      <w:pPr>
        <w:adjustRightInd w:val="0"/>
        <w:snapToGrid w:val="0"/>
        <w:spacing w:line="360" w:lineRule="auto"/>
        <w:rPr>
          <w:rFonts w:ascii="宋体" w:hAnsi="宋体" w:cs="宋体"/>
          <w:b/>
          <w:bCs/>
          <w:sz w:val="24"/>
        </w:rPr>
      </w:pPr>
      <w:r>
        <w:rPr>
          <w:rFonts w:hint="eastAsia" w:ascii="宋体" w:hAnsi="宋体" w:cs="宋体"/>
          <w:b/>
          <w:bCs/>
          <w:sz w:val="24"/>
        </w:rPr>
        <w:t>15、磋商保证金</w:t>
      </w:r>
    </w:p>
    <w:p>
      <w:pPr>
        <w:autoSpaceDE w:val="0"/>
        <w:autoSpaceDN w:val="0"/>
        <w:adjustRightInd w:val="0"/>
        <w:snapToGrid w:val="0"/>
        <w:spacing w:line="360" w:lineRule="auto"/>
        <w:ind w:firstLine="480" w:firstLineChars="200"/>
        <w:rPr>
          <w:rFonts w:ascii="宋体" w:hAnsi="宋体" w:cs="宋体"/>
          <w:sz w:val="24"/>
          <w:lang w:val="zh-CN"/>
        </w:rPr>
      </w:pPr>
      <w:r>
        <w:rPr>
          <w:rFonts w:hint="eastAsia" w:ascii="宋体" w:hAnsi="宋体" w:cs="宋体"/>
          <w:sz w:val="24"/>
        </w:rPr>
        <w:t>15.1</w:t>
      </w:r>
      <w:r>
        <w:rPr>
          <w:rFonts w:hint="eastAsia" w:ascii="宋体" w:hAnsi="宋体" w:cs="宋体"/>
          <w:sz w:val="24"/>
          <w:lang w:val="zh-CN"/>
        </w:rPr>
        <w:t>磋商保证金是为了保护采购人免遭因供应商的行为而蒙受的损失，采购人在因供应商的行为受到损害时，可根据第</w:t>
      </w:r>
      <w:r>
        <w:rPr>
          <w:rFonts w:hint="eastAsia" w:ascii="宋体" w:hAnsi="宋体" w:cs="宋体"/>
          <w:sz w:val="24"/>
        </w:rPr>
        <w:t>15.5</w:t>
      </w:r>
      <w:r>
        <w:rPr>
          <w:rFonts w:hint="eastAsia" w:ascii="宋体" w:hAnsi="宋体" w:cs="宋体"/>
          <w:sz w:val="24"/>
          <w:lang w:val="zh-CN"/>
        </w:rPr>
        <w:t>条规定对供应商的磋商保证金不予退还。</w:t>
      </w:r>
    </w:p>
    <w:p>
      <w:pPr>
        <w:autoSpaceDE w:val="0"/>
        <w:autoSpaceDN w:val="0"/>
        <w:adjustRightInd w:val="0"/>
        <w:snapToGrid w:val="0"/>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5</w:t>
      </w:r>
      <w:r>
        <w:rPr>
          <w:rFonts w:ascii="宋体" w:hAnsi="宋体" w:cs="宋体"/>
          <w:sz w:val="24"/>
        </w:rPr>
        <w:t>.</w:t>
      </w:r>
      <w:r>
        <w:rPr>
          <w:rFonts w:hint="eastAsia" w:ascii="宋体" w:hAnsi="宋体" w:cs="宋体"/>
          <w:sz w:val="24"/>
        </w:rPr>
        <w:t>2磋商保证金的交纳形式</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15.2.1</w:t>
      </w:r>
      <w:r>
        <w:rPr>
          <w:rFonts w:ascii="宋体" w:hAnsi="宋体" w:cs="宋体"/>
          <w:sz w:val="24"/>
        </w:rPr>
        <w:t>本项目</w:t>
      </w:r>
      <w:r>
        <w:rPr>
          <w:rFonts w:hint="eastAsia" w:ascii="宋体" w:hAnsi="宋体" w:cs="宋体"/>
          <w:sz w:val="24"/>
        </w:rPr>
        <w:t>磋商</w:t>
      </w:r>
      <w:r>
        <w:rPr>
          <w:rFonts w:ascii="宋体" w:hAnsi="宋体" w:cs="宋体"/>
          <w:sz w:val="24"/>
        </w:rPr>
        <w:t>保证金金额为人民币</w:t>
      </w:r>
      <w:r>
        <w:rPr>
          <w:rFonts w:hint="eastAsia" w:ascii="宋体" w:hAnsi="宋体" w:cs="宋体"/>
          <w:sz w:val="24"/>
        </w:rPr>
        <w:t>伍</w:t>
      </w:r>
      <w:r>
        <w:rPr>
          <w:rFonts w:ascii="宋体" w:hAnsi="宋体" w:cs="宋体"/>
          <w:sz w:val="24"/>
        </w:rPr>
        <w:t>仟元整，递交形式</w:t>
      </w:r>
      <w:r>
        <w:rPr>
          <w:rFonts w:hint="eastAsia" w:ascii="宋体" w:hAnsi="宋体" w:cs="宋体"/>
          <w:sz w:val="24"/>
        </w:rPr>
        <w:t>为</w:t>
      </w:r>
      <w:r>
        <w:rPr>
          <w:rFonts w:ascii="宋体" w:hAnsi="宋体" w:cs="宋体"/>
          <w:sz w:val="24"/>
        </w:rPr>
        <w:t>银行汇票等，与响应文件一并递交。</w:t>
      </w:r>
      <w:r>
        <w:rPr>
          <w:rFonts w:hint="eastAsia" w:ascii="宋体" w:hAnsi="宋体" w:cs="宋体"/>
          <w:sz w:val="24"/>
        </w:rPr>
        <w:t>磋商保证金的交纳主体必须是磋商供应商本身【磋商供应商以个人、办事处、分公司、子公司名义缴纳的磋商保证金无效】。</w:t>
      </w:r>
    </w:p>
    <w:p>
      <w:pPr>
        <w:autoSpaceDE w:val="0"/>
        <w:autoSpaceDN w:val="0"/>
        <w:adjustRightInd w:val="0"/>
        <w:snapToGrid w:val="0"/>
        <w:spacing w:line="360" w:lineRule="auto"/>
        <w:ind w:firstLine="480" w:firstLineChars="200"/>
        <w:rPr>
          <w:rFonts w:ascii="宋体" w:hAnsi="宋体" w:cs="宋体"/>
          <w:sz w:val="24"/>
        </w:rPr>
      </w:pPr>
      <w:r>
        <w:rPr>
          <w:rFonts w:ascii="宋体" w:hAnsi="宋体" w:cs="宋体"/>
          <w:sz w:val="24"/>
        </w:rPr>
        <w:t>收款人：淮阴师范学院</w:t>
      </w:r>
      <w:r>
        <w:rPr>
          <w:rFonts w:hint="eastAsia" w:ascii="宋体" w:hAnsi="宋体" w:cs="宋体"/>
          <w:sz w:val="24"/>
        </w:rPr>
        <w:t>；</w:t>
      </w:r>
      <w:r>
        <w:rPr>
          <w:rFonts w:ascii="宋体" w:hAnsi="宋体" w:cs="宋体"/>
          <w:sz w:val="24"/>
        </w:rPr>
        <w:t>汇款人（申请人）：响应人单位全称，备注：×××项目</w:t>
      </w:r>
      <w:r>
        <w:rPr>
          <w:rFonts w:hint="eastAsia" w:ascii="宋体" w:hAnsi="宋体" w:cs="宋体"/>
          <w:sz w:val="24"/>
        </w:rPr>
        <w:t>磋商</w:t>
      </w:r>
      <w:r>
        <w:rPr>
          <w:rFonts w:ascii="宋体" w:hAnsi="宋体" w:cs="宋体"/>
          <w:sz w:val="24"/>
        </w:rPr>
        <w:t>保证金。</w:t>
      </w:r>
    </w:p>
    <w:p>
      <w:pPr>
        <w:autoSpaceDE w:val="0"/>
        <w:autoSpaceDN w:val="0"/>
        <w:adjustRightInd w:val="0"/>
        <w:snapToGrid w:val="0"/>
        <w:spacing w:line="360" w:lineRule="auto"/>
        <w:ind w:firstLine="480" w:firstLineChars="200"/>
        <w:rPr>
          <w:rFonts w:ascii="宋体" w:hAnsi="宋体" w:cs="宋体"/>
          <w:sz w:val="24"/>
        </w:rPr>
      </w:pPr>
      <w:r>
        <w:rPr>
          <w:rFonts w:ascii="宋体" w:hAnsi="宋体" w:cs="宋体"/>
          <w:sz w:val="24"/>
        </w:rPr>
        <w:t>注：票据须单独密封在信封内，并在信封上标明“</w:t>
      </w:r>
      <w:r>
        <w:rPr>
          <w:rFonts w:hint="eastAsia" w:ascii="宋体" w:hAnsi="宋体" w:cs="宋体"/>
          <w:sz w:val="24"/>
        </w:rPr>
        <w:t>磋商</w:t>
      </w:r>
      <w:r>
        <w:rPr>
          <w:rFonts w:ascii="宋体" w:hAnsi="宋体" w:cs="宋体"/>
          <w:sz w:val="24"/>
        </w:rPr>
        <w:t>保证金”字样、金额、响应人名称、响应人代表姓名、身份证号等信息。</w:t>
      </w:r>
    </w:p>
    <w:p>
      <w:pPr>
        <w:autoSpaceDE w:val="0"/>
        <w:autoSpaceDN w:val="0"/>
        <w:adjustRightInd w:val="0"/>
        <w:snapToGrid w:val="0"/>
        <w:spacing w:line="360" w:lineRule="auto"/>
        <w:ind w:firstLine="480" w:firstLineChars="200"/>
        <w:rPr>
          <w:rFonts w:ascii="宋体" w:hAnsi="宋体" w:cs="宋体"/>
          <w:sz w:val="24"/>
          <w:lang w:val="zh-CN"/>
        </w:rPr>
      </w:pPr>
      <w:r>
        <w:rPr>
          <w:rFonts w:hint="eastAsia" w:ascii="宋体" w:hAnsi="宋体" w:cs="宋体"/>
          <w:sz w:val="24"/>
          <w:lang w:val="zh-CN"/>
        </w:rPr>
        <w:t>15.3</w:t>
      </w:r>
      <w:r>
        <w:rPr>
          <w:rFonts w:hint="eastAsia" w:ascii="宋体" w:hAnsi="宋体" w:cs="宋体"/>
          <w:sz w:val="24"/>
        </w:rPr>
        <w:t>在磋商时，对于未按要求提交磋商保证金的，其响应文件将作为无效响应文件。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15.4磋商保证金的退还：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15.4.1未成交供应商的磋商保证金，在正常情况下采购人将在成交通知书发出后五个工作日内予以退还（不计利息）。未成交供应商应主动到采购人办理退还手续，外地供应商可向采购人请求协助办理退还手续。</w:t>
      </w:r>
    </w:p>
    <w:p>
      <w:pPr>
        <w:adjustRightInd w:val="0"/>
        <w:snapToGrid w:val="0"/>
        <w:spacing w:line="360" w:lineRule="auto"/>
        <w:ind w:firstLine="480" w:firstLineChars="200"/>
        <w:rPr>
          <w:rFonts w:ascii="宋体" w:hAnsi="宋体" w:cs="宋体"/>
          <w:b/>
          <w:sz w:val="24"/>
        </w:rPr>
      </w:pPr>
      <w:r>
        <w:rPr>
          <w:rFonts w:hint="eastAsia" w:ascii="宋体" w:hAnsi="宋体" w:cs="宋体"/>
          <w:sz w:val="24"/>
        </w:rPr>
        <w:t>15.4.2未成交供应商的磋商保证金，在特殊情况下按第16.2条规定执行。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15.5发生下列情况之一的，磋商保证金将被不予退还：</w:t>
      </w:r>
    </w:p>
    <w:p>
      <w:pPr>
        <w:adjustRightInd w:val="0"/>
        <w:snapToGrid w:val="0"/>
        <w:spacing w:line="360" w:lineRule="auto"/>
        <w:ind w:firstLine="360" w:firstLineChars="150"/>
        <w:rPr>
          <w:rFonts w:ascii="宋体" w:hAnsi="宋体" w:cs="宋体"/>
          <w:sz w:val="24"/>
          <w:lang w:val="zh-CN"/>
        </w:rPr>
      </w:pPr>
      <w:r>
        <w:rPr>
          <w:rFonts w:hint="eastAsia" w:ascii="宋体" w:hAnsi="宋体" w:cs="宋体"/>
          <w:sz w:val="24"/>
          <w:lang w:val="zh-CN"/>
        </w:rPr>
        <w:t>（1）供应商在提交响应文件截止时间后撤回响应文件；</w:t>
      </w:r>
    </w:p>
    <w:p>
      <w:pPr>
        <w:adjustRightInd w:val="0"/>
        <w:snapToGrid w:val="0"/>
        <w:spacing w:line="360" w:lineRule="auto"/>
        <w:ind w:firstLine="360" w:firstLineChars="150"/>
        <w:rPr>
          <w:rFonts w:ascii="宋体" w:hAnsi="宋体" w:cs="宋体"/>
          <w:sz w:val="24"/>
          <w:lang w:val="zh-CN"/>
        </w:rPr>
      </w:pPr>
      <w:r>
        <w:rPr>
          <w:rFonts w:hint="eastAsia" w:ascii="宋体" w:hAnsi="宋体" w:cs="宋体"/>
          <w:sz w:val="24"/>
          <w:lang w:val="zh-CN"/>
        </w:rPr>
        <w:t>（2）供应商在响应文件中提供虚假材料的；</w:t>
      </w:r>
    </w:p>
    <w:p>
      <w:pPr>
        <w:adjustRightInd w:val="0"/>
        <w:snapToGrid w:val="0"/>
        <w:spacing w:line="360" w:lineRule="auto"/>
        <w:ind w:firstLine="360" w:firstLineChars="150"/>
        <w:rPr>
          <w:rFonts w:ascii="宋体" w:hAnsi="宋体" w:cs="宋体"/>
          <w:sz w:val="24"/>
          <w:lang w:val="zh-CN"/>
        </w:rPr>
      </w:pPr>
      <w:r>
        <w:rPr>
          <w:rFonts w:hint="eastAsia" w:ascii="宋体" w:hAnsi="宋体" w:cs="宋体"/>
          <w:sz w:val="24"/>
          <w:lang w:val="zh-CN"/>
        </w:rPr>
        <w:t>（3）供应商之间被证实有串通（统一哄抬价格）、欺诈行为；</w:t>
      </w:r>
    </w:p>
    <w:p>
      <w:pPr>
        <w:adjustRightInd w:val="0"/>
        <w:snapToGrid w:val="0"/>
        <w:spacing w:line="360" w:lineRule="auto"/>
        <w:ind w:firstLine="360" w:firstLineChars="150"/>
        <w:rPr>
          <w:rFonts w:ascii="宋体" w:hAnsi="宋体" w:cs="宋体"/>
          <w:sz w:val="24"/>
          <w:lang w:val="zh-CN"/>
        </w:rPr>
      </w:pPr>
      <w:r>
        <w:rPr>
          <w:rFonts w:hint="eastAsia" w:ascii="宋体" w:hAnsi="宋体" w:cs="宋体"/>
          <w:sz w:val="24"/>
          <w:lang w:val="zh-CN"/>
        </w:rPr>
        <w:t>（4）供应商被证明有妨碍其他人公平竞争、损害采购人或者其他供应商合法权益的；</w:t>
      </w:r>
    </w:p>
    <w:p>
      <w:pPr>
        <w:adjustRightInd w:val="0"/>
        <w:snapToGrid w:val="0"/>
        <w:spacing w:line="360" w:lineRule="auto"/>
        <w:ind w:firstLine="360" w:firstLineChars="150"/>
        <w:rPr>
          <w:rFonts w:ascii="宋体" w:hAnsi="宋体" w:cs="宋体"/>
          <w:sz w:val="24"/>
          <w:lang w:val="zh-CN"/>
        </w:rPr>
      </w:pPr>
      <w:r>
        <w:rPr>
          <w:rFonts w:hint="eastAsia" w:ascii="宋体" w:hAnsi="宋体" w:cs="宋体"/>
          <w:sz w:val="24"/>
          <w:lang w:val="zh-CN"/>
        </w:rPr>
        <w:t>（5）供应商与采购人、其他供应商或采购代理机构恶意串通的；</w:t>
      </w:r>
    </w:p>
    <w:p>
      <w:pPr>
        <w:adjustRightInd w:val="0"/>
        <w:snapToGrid w:val="0"/>
        <w:spacing w:line="360" w:lineRule="auto"/>
        <w:ind w:firstLine="360" w:firstLineChars="150"/>
        <w:rPr>
          <w:rFonts w:ascii="宋体" w:hAnsi="宋体" w:cs="宋体"/>
          <w:sz w:val="24"/>
          <w:lang w:val="zh-CN"/>
        </w:rPr>
      </w:pPr>
      <w:r>
        <w:rPr>
          <w:rFonts w:hint="eastAsia" w:ascii="宋体" w:hAnsi="宋体" w:cs="宋体"/>
          <w:sz w:val="24"/>
          <w:lang w:val="zh-CN"/>
        </w:rPr>
        <w:t>（6）除因不可抗力或磋商文件认可的情形以外，成交供应商不与采购人签订合同的；</w:t>
      </w:r>
    </w:p>
    <w:p>
      <w:pPr>
        <w:adjustRightInd w:val="0"/>
        <w:snapToGrid w:val="0"/>
        <w:spacing w:line="360" w:lineRule="auto"/>
        <w:ind w:firstLine="360" w:firstLineChars="150"/>
        <w:rPr>
          <w:rFonts w:ascii="宋体" w:hAnsi="宋体" w:cs="宋体"/>
          <w:sz w:val="24"/>
          <w:lang w:val="zh-CN"/>
        </w:rPr>
      </w:pPr>
      <w:r>
        <w:rPr>
          <w:rFonts w:hint="eastAsia" w:ascii="宋体" w:hAnsi="宋体" w:cs="宋体"/>
          <w:sz w:val="24"/>
          <w:lang w:val="zh-CN"/>
        </w:rPr>
        <w:t>（7）成交供应商在规定期限内未能根据第30条规定签订合同的；</w:t>
      </w:r>
    </w:p>
    <w:p>
      <w:pPr>
        <w:adjustRightInd w:val="0"/>
        <w:snapToGrid w:val="0"/>
        <w:spacing w:line="360" w:lineRule="auto"/>
        <w:ind w:firstLine="360" w:firstLineChars="150"/>
        <w:rPr>
          <w:rFonts w:ascii="宋体" w:hAnsi="宋体" w:cs="宋体"/>
          <w:sz w:val="24"/>
          <w:lang w:val="zh-CN"/>
        </w:rPr>
      </w:pPr>
      <w:r>
        <w:rPr>
          <w:rFonts w:hint="eastAsia" w:ascii="宋体" w:hAnsi="宋体" w:cs="宋体"/>
          <w:sz w:val="24"/>
          <w:lang w:val="zh-CN"/>
        </w:rPr>
        <w:t>（8）成交供应商在规定期限内未能根据第32条规定交纳履约保证金的。</w:t>
      </w:r>
    </w:p>
    <w:p>
      <w:pPr>
        <w:adjustRightInd w:val="0"/>
        <w:snapToGrid w:val="0"/>
        <w:spacing w:line="360" w:lineRule="auto"/>
        <w:ind w:firstLine="360" w:firstLineChars="150"/>
        <w:rPr>
          <w:rFonts w:ascii="宋体" w:hAnsi="宋体" w:cs="宋体"/>
          <w:sz w:val="24"/>
          <w:lang w:val="zh-CN"/>
        </w:rPr>
      </w:pPr>
      <w:r>
        <w:rPr>
          <w:rFonts w:hint="eastAsia" w:ascii="宋体" w:hAnsi="宋体" w:cs="宋体"/>
          <w:sz w:val="24"/>
          <w:lang w:val="zh-CN"/>
        </w:rPr>
        <w:t>15.6 成交供应商若发生本条第15.5款中的任何一种行为，一经查实，采购人有权取消其成交资格。</w:t>
      </w:r>
    </w:p>
    <w:p>
      <w:pPr>
        <w:adjustRightInd w:val="0"/>
        <w:snapToGrid w:val="0"/>
        <w:spacing w:line="360" w:lineRule="auto"/>
        <w:rPr>
          <w:rFonts w:ascii="宋体" w:hAnsi="宋体" w:cs="宋体"/>
          <w:b/>
          <w:bCs/>
          <w:sz w:val="24"/>
        </w:rPr>
      </w:pPr>
      <w:r>
        <w:rPr>
          <w:rFonts w:hint="eastAsia" w:ascii="宋体" w:hAnsi="宋体" w:cs="宋体"/>
          <w:b/>
          <w:bCs/>
          <w:sz w:val="24"/>
        </w:rPr>
        <w:t>16、磋商有效期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16.1磋商有效期为从磋商之日起计算的九十天。磋商有效期比规定短的将被视为非响应磋商而予以拒绝。</w:t>
      </w:r>
    </w:p>
    <w:p>
      <w:pPr>
        <w:adjustRightInd w:val="0"/>
        <w:snapToGrid w:val="0"/>
        <w:spacing w:line="360" w:lineRule="auto"/>
        <w:ind w:firstLine="480" w:firstLineChars="200"/>
        <w:rPr>
          <w:rFonts w:ascii="宋体" w:hAnsi="宋体" w:cs="宋体"/>
          <w:sz w:val="24"/>
        </w:rPr>
      </w:pPr>
      <w:r>
        <w:rPr>
          <w:rFonts w:hint="eastAsia" w:ascii="宋体" w:hAnsi="宋体" w:cs="宋体"/>
          <w:bCs/>
          <w:sz w:val="24"/>
        </w:rPr>
        <w:t>16.2</w:t>
      </w:r>
      <w:r>
        <w:rPr>
          <w:rFonts w:hint="eastAsia" w:ascii="宋体" w:hAnsi="宋体" w:cs="宋体"/>
          <w:sz w:val="24"/>
        </w:rPr>
        <w:t>在特殊情况下，采购人于原磋商有效期满之前，可向供应商提出延长有效期的要求，这种要求与答复均应采用书面形式（如信件、传真或电报等）。供应商可以拒绝接受这一要求而放弃磋商，采购人在接到供应商书面答复后，将在原磋商有限期满后五天内无息退还其磋商保证金。同意延长的供应商既不能要求也不允许修改其响应文件，但须相应延长磋商保证金的有效期，同时受磋商有效期约束的所有权利与义务均延长至新的有效期。</w:t>
      </w:r>
    </w:p>
    <w:p>
      <w:pPr>
        <w:adjustRightInd w:val="0"/>
        <w:snapToGrid w:val="0"/>
        <w:spacing w:line="360" w:lineRule="auto"/>
        <w:rPr>
          <w:rFonts w:ascii="宋体" w:hAnsi="宋体" w:cs="宋体"/>
          <w:b/>
          <w:bCs/>
          <w:sz w:val="24"/>
        </w:rPr>
      </w:pPr>
      <w:r>
        <w:rPr>
          <w:rFonts w:hint="eastAsia" w:ascii="宋体" w:hAnsi="宋体" w:cs="宋体"/>
          <w:b/>
          <w:bCs/>
          <w:sz w:val="24"/>
        </w:rPr>
        <w:t>17、</w:t>
      </w:r>
      <w:r>
        <w:rPr>
          <w:rFonts w:hint="eastAsia" w:ascii="宋体" w:hAnsi="宋体" w:cs="宋体"/>
          <w:b/>
          <w:sz w:val="24"/>
        </w:rPr>
        <w:t>响应文件份数和签署</w:t>
      </w:r>
    </w:p>
    <w:p>
      <w:pPr>
        <w:pStyle w:val="10"/>
        <w:adjustRightInd w:val="0"/>
        <w:snapToGrid w:val="0"/>
        <w:spacing w:line="360" w:lineRule="auto"/>
        <w:ind w:firstLine="480" w:firstLineChars="200"/>
        <w:rPr>
          <w:rFonts w:hAnsi="宋体" w:cs="宋体"/>
          <w:sz w:val="24"/>
          <w:szCs w:val="24"/>
        </w:rPr>
      </w:pPr>
      <w:r>
        <w:rPr>
          <w:rFonts w:hint="eastAsia" w:hAnsi="宋体" w:cs="宋体"/>
          <w:sz w:val="24"/>
          <w:szCs w:val="24"/>
        </w:rPr>
        <w:t>17.1供应商应严格按照按磋商文件第二章第11条的要求，编制一式四份的响应文件</w:t>
      </w:r>
      <w:r>
        <w:rPr>
          <w:rFonts w:hint="eastAsia" w:hAnsi="宋体" w:cs="宋体"/>
          <w:b/>
          <w:bCs/>
          <w:sz w:val="24"/>
          <w:szCs w:val="24"/>
        </w:rPr>
        <w:t>（包括一份正本和三份副本）</w:t>
      </w:r>
      <w:r>
        <w:rPr>
          <w:rFonts w:hint="eastAsia" w:hAnsi="宋体" w:cs="宋体"/>
          <w:sz w:val="24"/>
          <w:szCs w:val="24"/>
        </w:rPr>
        <w:t>，每份响应文件封面上必须清楚地标明“正本”或“副本”字样。一旦正本和副本不符，以正本为准。</w:t>
      </w:r>
    </w:p>
    <w:p>
      <w:pPr>
        <w:autoSpaceDE w:val="0"/>
        <w:autoSpaceDN w:val="0"/>
        <w:adjustRightInd w:val="0"/>
        <w:snapToGrid w:val="0"/>
        <w:spacing w:line="360" w:lineRule="auto"/>
        <w:ind w:firstLine="480" w:firstLineChars="200"/>
        <w:rPr>
          <w:rFonts w:ascii="宋体" w:hAnsi="宋体" w:cs="宋体"/>
          <w:sz w:val="24"/>
          <w:lang w:val="zh-CN"/>
        </w:rPr>
      </w:pPr>
      <w:r>
        <w:rPr>
          <w:rFonts w:hint="eastAsia" w:ascii="宋体" w:hAnsi="宋体" w:cs="宋体"/>
          <w:sz w:val="24"/>
        </w:rPr>
        <w:t>17.2响应文件的正本和所有副本均须打印，并由</w:t>
      </w:r>
      <w:r>
        <w:rPr>
          <w:sz w:val="24"/>
        </w:rPr>
        <w:t>法定代表人或</w:t>
      </w:r>
      <w:r>
        <w:rPr>
          <w:rFonts w:hint="eastAsia"/>
          <w:sz w:val="24"/>
        </w:rPr>
        <w:t>委托受托人</w:t>
      </w:r>
      <w:r>
        <w:rPr>
          <w:sz w:val="24"/>
        </w:rPr>
        <w:t>签字和加盖磋商供应商公章</w:t>
      </w:r>
      <w:r>
        <w:rPr>
          <w:rFonts w:hint="eastAsia"/>
          <w:sz w:val="24"/>
        </w:rPr>
        <w:t>。</w:t>
      </w:r>
      <w:r>
        <w:rPr>
          <w:rFonts w:hint="eastAsia" w:ascii="宋体" w:hAnsi="宋体" w:cs="宋体"/>
          <w:sz w:val="24"/>
        </w:rPr>
        <w:t>委托受托人签字的，委托受托人必须将以书面形式出具的“授权委托书”附在响应文件中。响应文件中</w:t>
      </w:r>
      <w:r>
        <w:rPr>
          <w:rFonts w:hint="eastAsia" w:ascii="宋体" w:hAnsi="宋体" w:cs="宋体"/>
          <w:sz w:val="24"/>
          <w:lang w:val="zh-CN"/>
        </w:rPr>
        <w:t>签署授权委托书格式、签字、盖章及内容均应符合要求，否则响应文件中签署授权委托书无效。</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17.3除供应商对错处做必要修改外，响应文件不得行间插字、涂改或增删之处，但如有错误必须修改时，修改处须由供应商法定代表人或其委托受托人签字。</w:t>
      </w:r>
    </w:p>
    <w:p>
      <w:pPr>
        <w:adjustRightInd w:val="0"/>
        <w:snapToGrid w:val="0"/>
        <w:spacing w:line="360" w:lineRule="auto"/>
        <w:ind w:firstLine="480" w:firstLineChars="200"/>
        <w:rPr>
          <w:rFonts w:ascii="宋体" w:hAnsi="宋体" w:cs="宋体"/>
          <w:sz w:val="24"/>
          <w:lang w:val="zh-CN"/>
        </w:rPr>
      </w:pPr>
      <w:r>
        <w:rPr>
          <w:rFonts w:hint="eastAsia" w:ascii="宋体" w:hAnsi="宋体" w:cs="宋体"/>
          <w:sz w:val="24"/>
        </w:rPr>
        <w:t>17.4</w:t>
      </w:r>
      <w:r>
        <w:rPr>
          <w:rFonts w:hint="eastAsia" w:ascii="宋体" w:hAnsi="宋体" w:cs="宋体"/>
          <w:sz w:val="24"/>
          <w:lang w:val="zh-CN"/>
        </w:rPr>
        <w:t>本磋商文件所表述的公章是指刻有供应商法定名称的印章，不包括合同、财务、税务、发票等形式的业务专用章。</w:t>
      </w:r>
    </w:p>
    <w:p>
      <w:pPr>
        <w:adjustRightInd w:val="0"/>
        <w:snapToGrid w:val="0"/>
        <w:spacing w:line="360" w:lineRule="auto"/>
        <w:jc w:val="center"/>
        <w:rPr>
          <w:rFonts w:ascii="宋体" w:hAnsi="宋体" w:cs="宋体"/>
          <w:b/>
          <w:bCs/>
          <w:sz w:val="32"/>
          <w:szCs w:val="32"/>
        </w:rPr>
      </w:pPr>
      <w:r>
        <w:rPr>
          <w:rFonts w:hint="eastAsia" w:ascii="宋体" w:hAnsi="宋体" w:cs="宋体"/>
          <w:b/>
          <w:bCs/>
          <w:sz w:val="32"/>
          <w:szCs w:val="32"/>
        </w:rPr>
        <w:t>四、 响应文件的递交</w:t>
      </w:r>
    </w:p>
    <w:p>
      <w:pPr>
        <w:adjustRightInd w:val="0"/>
        <w:snapToGrid w:val="0"/>
        <w:spacing w:line="360" w:lineRule="auto"/>
        <w:rPr>
          <w:rFonts w:ascii="宋体" w:hAnsi="宋体" w:cs="宋体"/>
          <w:b/>
          <w:bCs/>
          <w:sz w:val="24"/>
        </w:rPr>
      </w:pPr>
      <w:r>
        <w:rPr>
          <w:rFonts w:hint="eastAsia" w:ascii="宋体" w:hAnsi="宋体" w:cs="宋体"/>
          <w:b/>
          <w:bCs/>
          <w:sz w:val="24"/>
        </w:rPr>
        <w:t>18、响应文件的密封及标记</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18.1供应商应将响应文件正本和所有副本密封，并在信封（箱）封口处应加盖骑缝章。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18.2信封（箱）封面注明：（1）采购项目名称及编号；（2）供应商的名称、地址、电话；（3）“请勿在（磋商时间）之前启封”的字样。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18.3响应文件未按第18.1和18.2条的要求密封和加写标记，采购人不对响应文件被错放或先期启封负责。</w:t>
      </w:r>
    </w:p>
    <w:p>
      <w:pPr>
        <w:adjustRightInd w:val="0"/>
        <w:snapToGrid w:val="0"/>
        <w:spacing w:line="360" w:lineRule="auto"/>
        <w:rPr>
          <w:rFonts w:ascii="宋体" w:hAnsi="宋体" w:cs="宋体"/>
          <w:b/>
          <w:bCs/>
          <w:sz w:val="24"/>
        </w:rPr>
      </w:pPr>
      <w:r>
        <w:rPr>
          <w:rFonts w:hint="eastAsia" w:ascii="宋体" w:hAnsi="宋体" w:cs="宋体"/>
          <w:b/>
          <w:bCs/>
          <w:sz w:val="24"/>
        </w:rPr>
        <w:t>19、响应文件递交截止时间</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19.1供应商必须在规定的响应文件递交截止时间前将响应文件送达至指定地点。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19.2采购人可以按磋商文件规定，通过修改磋商文件自行决定酌情延长响应文件递交截止时间。在此情况下，磋商供应商的所有权利和义务以及受制的截止日期均应以延长后新的截止日期为准。</w:t>
      </w:r>
    </w:p>
    <w:p>
      <w:pPr>
        <w:adjustRightInd w:val="0"/>
        <w:snapToGrid w:val="0"/>
        <w:spacing w:line="360" w:lineRule="auto"/>
        <w:rPr>
          <w:rFonts w:ascii="宋体" w:hAnsi="宋体" w:cs="宋体"/>
          <w:b/>
          <w:bCs/>
          <w:sz w:val="24"/>
        </w:rPr>
      </w:pPr>
      <w:r>
        <w:rPr>
          <w:rFonts w:hint="eastAsia" w:ascii="宋体" w:hAnsi="宋体" w:cs="宋体"/>
          <w:b/>
          <w:bCs/>
          <w:sz w:val="24"/>
        </w:rPr>
        <w:t>20、迟交的响应文件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20.1采购人将拒绝接收在响应文件递交截止时间后收到的任何响应文件。</w:t>
      </w:r>
    </w:p>
    <w:p>
      <w:pPr>
        <w:adjustRightInd w:val="0"/>
        <w:snapToGrid w:val="0"/>
        <w:spacing w:line="360" w:lineRule="auto"/>
        <w:rPr>
          <w:rFonts w:ascii="宋体" w:hAnsi="宋体" w:cs="宋体"/>
          <w:b/>
          <w:bCs/>
          <w:sz w:val="24"/>
        </w:rPr>
      </w:pPr>
      <w:r>
        <w:rPr>
          <w:rFonts w:hint="eastAsia" w:ascii="宋体" w:hAnsi="宋体" w:cs="宋体"/>
          <w:b/>
          <w:bCs/>
          <w:sz w:val="24"/>
        </w:rPr>
        <w:t>21、响应文件的修改和撤回</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21.1磋商供应商在提交响应文件后，可以修改或撤回其响应文件，但这种修改和撤回，必须在规定的磋商开始时间前，并以书面形式通知采购人。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21.2响应文件的修改文件应按第17条规定进行编制和签署，并按第18条规定进行密封、标记，同时还应加注“修改”字样。修改文件同样必须在响应文件递交截止时间前送达。</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21.3在响应文件递交截止时间之后，供应商不得对其响应文件做任何修改。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21.4供应商不得在响应文件递交截止时间起至磋商活动结束前撤回响应文件，否则其磋商保证金将被不予退还。</w:t>
      </w:r>
    </w:p>
    <w:p>
      <w:pPr>
        <w:adjustRightInd w:val="0"/>
        <w:snapToGrid w:val="0"/>
        <w:spacing w:line="360" w:lineRule="auto"/>
        <w:jc w:val="center"/>
        <w:rPr>
          <w:rFonts w:ascii="宋体" w:hAnsi="宋体" w:cs="宋体"/>
          <w:b/>
          <w:bCs/>
          <w:sz w:val="32"/>
          <w:szCs w:val="32"/>
        </w:rPr>
      </w:pPr>
      <w:r>
        <w:rPr>
          <w:rFonts w:hint="eastAsia" w:ascii="宋体" w:hAnsi="宋体" w:cs="宋体"/>
          <w:b/>
          <w:bCs/>
          <w:sz w:val="32"/>
          <w:szCs w:val="32"/>
        </w:rPr>
        <w:t>五、磋商、推荐成交候选人</w:t>
      </w:r>
    </w:p>
    <w:p>
      <w:pPr>
        <w:adjustRightInd w:val="0"/>
        <w:snapToGrid w:val="0"/>
        <w:spacing w:line="360" w:lineRule="auto"/>
        <w:rPr>
          <w:rFonts w:ascii="宋体" w:hAnsi="宋体" w:cs="宋体"/>
          <w:b/>
          <w:bCs/>
          <w:sz w:val="24"/>
        </w:rPr>
      </w:pPr>
      <w:r>
        <w:rPr>
          <w:rFonts w:hint="eastAsia" w:ascii="宋体" w:hAnsi="宋体" w:cs="宋体"/>
          <w:b/>
          <w:bCs/>
          <w:sz w:val="24"/>
        </w:rPr>
        <w:t>22、磋商组织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22.1采购人将在磋商邀请中规定的时间和地点组织磋商小组分别与供应商进行磋商。采购人、供应商应委派代表准时参加，参加磋商的供应商代表需签名以证明其出席。</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22.2磋商工作由采购人负责组织，具体磋商事务由磋商小组负责。</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22.2.1磋商小组由采购人代表和评审专家共3人以上单数组成。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22.2.2磋商小组应以科学、公正的态度参加评审工作并推荐成交候选人。磋商小组在评审过程中不受任何干扰，独立、负责地提出评审意见，并对自己的评审意见承担责任。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22.2.3磋商小组应对供应商的商业、技术秘密予以保密。</w:t>
      </w:r>
    </w:p>
    <w:p>
      <w:pPr>
        <w:adjustRightInd w:val="0"/>
        <w:snapToGrid w:val="0"/>
        <w:spacing w:line="360" w:lineRule="auto"/>
        <w:rPr>
          <w:rFonts w:ascii="宋体" w:hAnsi="宋体" w:cs="宋体"/>
          <w:b/>
          <w:bCs/>
          <w:sz w:val="24"/>
        </w:rPr>
      </w:pPr>
      <w:r>
        <w:rPr>
          <w:rFonts w:hint="eastAsia" w:ascii="宋体" w:hAnsi="宋体" w:cs="宋体"/>
          <w:b/>
          <w:bCs/>
          <w:sz w:val="24"/>
        </w:rPr>
        <w:t>23、磋商程序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23.1响应文件的资格审查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23.1.1磋商小组依法对供应商的资格进行审查。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23.1.1.1资格性审查:依据法律法规和磋商文件的规定，对响应文件中的资格证明文件、磋商保证金等进行审查，以确定供应商是否具备磋商资格。</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23.1.1.2 在进行资格性审查的同时，将在“信用中国”网站（</w:t>
      </w:r>
      <w:r>
        <w:fldChar w:fldCharType="begin"/>
      </w:r>
      <w:r>
        <w:instrText xml:space="preserve"> HYPERLINK "http://www.creditchina.gov.cn" </w:instrText>
      </w:r>
      <w:r>
        <w:fldChar w:fldCharType="separate"/>
      </w:r>
      <w:r>
        <w:rPr>
          <w:rFonts w:hint="eastAsia" w:ascii="宋体" w:hAnsi="宋体" w:cs="宋体"/>
          <w:sz w:val="24"/>
        </w:rPr>
        <w:t>www.creditchina.gov.cn</w:t>
      </w:r>
      <w:r>
        <w:rPr>
          <w:rFonts w:hint="eastAsia" w:ascii="宋体" w:hAnsi="宋体" w:cs="宋体"/>
          <w:sz w:val="24"/>
        </w:rPr>
        <w:fldChar w:fldCharType="end"/>
      </w:r>
      <w:r>
        <w:rPr>
          <w:rFonts w:hint="eastAsia" w:ascii="宋体" w:hAnsi="宋体" w:cs="宋体"/>
          <w:sz w:val="24"/>
        </w:rPr>
        <w:t>）、“中国政府采购网"（</w:t>
      </w:r>
      <w:r>
        <w:fldChar w:fldCharType="begin"/>
      </w:r>
      <w:r>
        <w:instrText xml:space="preserve"> HYPERLINK "http://www.ccgp.gov.cn" </w:instrText>
      </w:r>
      <w:r>
        <w:fldChar w:fldCharType="separate"/>
      </w:r>
      <w:r>
        <w:rPr>
          <w:rFonts w:hint="eastAsia" w:ascii="宋体" w:hAnsi="宋体" w:cs="宋体"/>
          <w:sz w:val="24"/>
        </w:rPr>
        <w:t>www.ccgp.gov.cn</w:t>
      </w:r>
      <w:r>
        <w:rPr>
          <w:rFonts w:hint="eastAsia" w:ascii="宋体" w:hAnsi="宋体" w:cs="宋体"/>
          <w:sz w:val="24"/>
        </w:rPr>
        <w:fldChar w:fldCharType="end"/>
      </w:r>
      <w:r>
        <w:rPr>
          <w:rFonts w:hint="eastAsia" w:ascii="宋体" w:hAnsi="宋体" w:cs="宋体"/>
          <w:sz w:val="24"/>
        </w:rPr>
        <w:t>）对供应商是否被列入失信被执行人、重大税收违法案件当事人名单、政府采购严重违法失信行为记录名单的情况进行查询，以确定供应商是否具备磋商资格。查询结果将以网页打印的形式留存并归档。</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23.1.1.3 响应文件有下列情况之一的，在资格性审查时按照无效响应文件处理: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（1）未按照磋商文件的规定交纳磋商保证金的；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（2）不具备磋商文件中规定的资格要求的；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（3）供应商被“信用中国”网站（</w:t>
      </w:r>
      <w:r>
        <w:fldChar w:fldCharType="begin"/>
      </w:r>
      <w:r>
        <w:instrText xml:space="preserve"> HYPERLINK "http://www.creditchina.gov.cn" </w:instrText>
      </w:r>
      <w:r>
        <w:fldChar w:fldCharType="separate"/>
      </w:r>
      <w:r>
        <w:rPr>
          <w:rFonts w:hint="eastAsia" w:ascii="宋体" w:hAnsi="宋体"/>
          <w:sz w:val="24"/>
        </w:rPr>
        <w:t>www.creditchina.gov.cn</w:t>
      </w:r>
      <w:r>
        <w:rPr>
          <w:rFonts w:hint="eastAsia" w:ascii="宋体" w:hAnsi="宋体"/>
          <w:sz w:val="24"/>
        </w:rPr>
        <w:fldChar w:fldCharType="end"/>
      </w:r>
      <w:r>
        <w:rPr>
          <w:rFonts w:hint="eastAsia" w:ascii="宋体" w:hAnsi="宋体" w:cs="宋体"/>
          <w:sz w:val="24"/>
        </w:rPr>
        <w:t>）、“中国政府采购网"（</w:t>
      </w:r>
      <w:r>
        <w:fldChar w:fldCharType="begin"/>
      </w:r>
      <w:r>
        <w:instrText xml:space="preserve"> HYPERLINK "http://www.ccgp.gov.cn" </w:instrText>
      </w:r>
      <w:r>
        <w:fldChar w:fldCharType="separate"/>
      </w:r>
      <w:r>
        <w:rPr>
          <w:rFonts w:hint="eastAsia" w:ascii="宋体" w:hAnsi="宋体" w:cs="宋体"/>
          <w:sz w:val="24"/>
        </w:rPr>
        <w:t>www.ccgp.gov.cn</w:t>
      </w:r>
      <w:r>
        <w:rPr>
          <w:rFonts w:hint="eastAsia" w:ascii="宋体" w:hAnsi="宋体" w:cs="宋体"/>
          <w:sz w:val="24"/>
        </w:rPr>
        <w:fldChar w:fldCharType="end"/>
      </w:r>
      <w:r>
        <w:rPr>
          <w:rFonts w:hint="eastAsia" w:ascii="宋体" w:hAnsi="宋体" w:cs="宋体"/>
          <w:sz w:val="24"/>
        </w:rPr>
        <w:t>）列入失信被执行人或重大税收违法案件当事人名单或政府采购严重失信行为记录名单。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23.2响应文件的符合性审查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23.2.1磋商小组对响应文件的有效性、完整性和对磋商文件的响应程度进行审查，以确定是否对磋商文件的实质性要求作出响应。</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23.2.2实质性响应是指响应文件与磋商文件要求的全部条款、条件和要求相符，而没有重大偏离或保留。重大偏离或保留系指影响到磋商文件规定的服务期限、服务范围、服务质量；或者在实质上与磋商文件不一致，或限制了采购人的权力和供应商的义务，而纠正这些偏离将会对其他提交了实质性响应文件的供应商的竞争地位产生不公正的影响。重大负偏离的认定必须经磋商小组三分之二以上（含）成员同意。磋商小组判断响应文件的响应性只根据响应文件本身的内容，而不寻求外部的证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23.2.3如果响应文件没有实质上响应磋商文件的要求，磋商小组将予以拒绝。</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23.2.4磋商小组将对确定为实质性响应的响应文件进行进一步初审，看其是否有计算上或累加上的算术错误，修正原则如下: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（1）大写金额和小写金额不一致的，以大写金额为准；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（2）单价金额小数点或者百分比有明显错位的，以总价为准并修改单价；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（3）总价金额与按单价汇总金额不一致的，以单价金额计算结果为准。</w:t>
      </w:r>
      <w:r>
        <w:rPr>
          <w:rFonts w:ascii="宋体" w:hAnsi="宋体" w:cs="宋体"/>
          <w:sz w:val="24"/>
        </w:rPr>
        <w:t xml:space="preserve">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同时出现两种以上不一致的，按照前款规定的顺序修正。修正后的报价按照第23.6的规定经供应商确认后产生约束力，供应商不确认的，其响应文件无效。</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23.3磋商小组成员集中与单一供应商分别进行磋商，并给予所有参加磋商的供应商平等的磋商机会。磋商可以是多轮次进行。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23.4磋商过程中，磋商小组可以根据磋商文件和磋商情况实质性变动采购需求中的技术、服务要求以及合同草案条款，但不得变动磋商文件中的其他内容。实质性变动的内容，须经采购人代表确认。实质性变动是磋商文件的有效组成部分，磋商小组将以书面形式通知所有参加磋商的供应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23.5磋商中，磋商的任何一方不得透露与磋商有关的其他参加供应商的技术资料、价格和其他信息。如果参加磋商供应商试图向采购代理机构和磋商小组人员施加任何影响，都将会导致其磋商被拒绝。</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23.6响应文件的澄清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23.6.1在磋商期间，为有助于对响应文件的审查、评价和比较，磋商小组有权要求供应商对其响应文件中含义不明确、同类问题表述不一致或者有明显文字和计算错误的内容进行澄清。但并非对每个供应商都作澄清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23.6.2接到磋商小组澄清要求的供应商应派人按磋商小组通知的时间和地点做出书面澄清，书面答复必须由供应商法定代表人或其委托受托人签署，并作为响应文件的补充。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23.6.3 接到磋商小组澄清要求的供应商如未按第23.6.2条的规定做出澄清，将视为放弃该权利。</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23.7磋商结束后，磋商小组将要求所有实质性响应的供应商在规定的时间内提交最后报价（最后报价将作为评审的依据）。最后报价是供应商响应文件的有效组成部分。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23.8</w:t>
      </w:r>
      <w:r>
        <w:rPr>
          <w:rFonts w:ascii="宋体" w:hAnsi="宋体" w:cs="宋体"/>
          <w:sz w:val="24"/>
        </w:rPr>
        <w:t>符合《政府采购竞争性磋商采购方式管理暂行办法》第三条第四项及</w:t>
      </w:r>
      <w:r>
        <w:rPr>
          <w:rFonts w:hint="eastAsia" w:ascii="宋体" w:hAnsi="宋体" w:cs="宋体"/>
          <w:sz w:val="24"/>
        </w:rPr>
        <w:t>财政行政部门其它</w:t>
      </w:r>
      <w:r>
        <w:rPr>
          <w:rFonts w:ascii="宋体" w:hAnsi="宋体" w:cs="宋体"/>
          <w:sz w:val="24"/>
        </w:rPr>
        <w:t>规定情形的，提交最</w:t>
      </w:r>
      <w:r>
        <w:rPr>
          <w:rFonts w:hint="eastAsia" w:ascii="宋体" w:hAnsi="宋体" w:cs="宋体"/>
          <w:sz w:val="24"/>
        </w:rPr>
        <w:t>后</w:t>
      </w:r>
      <w:r>
        <w:rPr>
          <w:rFonts w:ascii="宋体" w:hAnsi="宋体" w:cs="宋体"/>
          <w:sz w:val="24"/>
        </w:rPr>
        <w:t>报价的供应商可以为2家。</w:t>
      </w:r>
    </w:p>
    <w:p>
      <w:pPr>
        <w:adjustRightInd w:val="0"/>
        <w:snapToGrid w:val="0"/>
        <w:spacing w:line="360" w:lineRule="auto"/>
        <w:rPr>
          <w:rFonts w:ascii="宋体" w:hAnsi="宋体" w:cs="宋体"/>
          <w:b/>
          <w:bCs/>
          <w:sz w:val="24"/>
        </w:rPr>
      </w:pPr>
      <w:r>
        <w:rPr>
          <w:rFonts w:hint="eastAsia" w:ascii="宋体" w:hAnsi="宋体" w:cs="宋体"/>
          <w:b/>
          <w:bCs/>
          <w:sz w:val="24"/>
        </w:rPr>
        <w:t>24、出现下列情形之一的，响应文件按照无效处理：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24.1供应商未按照磋商文件的规定提交磋商保证金的；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24.2响应文件未按磋商文件要求签署、盖章的；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24.3供应商不具备磋商文件中规定的资格要求的；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24.4不符合法律、法规和磋商文件规定的其他无效情形的；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24.5经查实提供虚假材料谋取成交的；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24.6响应文件含有采购人不能接受的附加条件的；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24.7磋商报价超过磋商文件中规定的预算金额或者最高限价的；</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24.8不符合采购文件中规定的其他实质性要求和条件的【本采购文件中用带星号（“</w:t>
      </w:r>
      <w:r>
        <w:rPr>
          <w:rFonts w:ascii="宋体" w:hAnsi="宋体" w:cs="宋体"/>
          <w:sz w:val="24"/>
          <w:highlight w:val="none"/>
        </w:rPr>
        <w:t>★</w:t>
      </w:r>
      <w:r>
        <w:rPr>
          <w:rFonts w:hint="eastAsia" w:ascii="宋体" w:hAnsi="宋体" w:cs="宋体"/>
          <w:sz w:val="24"/>
          <w:highlight w:val="none"/>
        </w:rPr>
        <w:t>”）的商务和技术要求】；</w:t>
      </w:r>
    </w:p>
    <w:p>
      <w:pPr>
        <w:adjustRightInd w:val="0"/>
        <w:snapToGrid w:val="0"/>
        <w:spacing w:line="360" w:lineRule="auto"/>
        <w:ind w:firstLine="480" w:firstLineChars="200"/>
        <w:rPr>
          <w:rFonts w:hint="eastAsia" w:ascii="宋体" w:hAnsi="宋体" w:eastAsia="宋体" w:cs="宋体"/>
          <w:bCs/>
          <w:sz w:val="24"/>
          <w:highlight w:val="none"/>
          <w:lang w:eastAsia="zh-CN"/>
        </w:rPr>
      </w:pPr>
      <w:r>
        <w:rPr>
          <w:rFonts w:hint="eastAsia" w:ascii="宋体" w:hAnsi="宋体" w:cs="宋体"/>
          <w:sz w:val="24"/>
          <w:highlight w:val="none"/>
        </w:rPr>
        <w:t>24.9经三分之二磋商小组成员认定，供应商所投品牌档次低于采购人推荐品牌档次的</w:t>
      </w:r>
      <w:r>
        <w:rPr>
          <w:rFonts w:hint="eastAsia" w:ascii="宋体" w:hAnsi="宋体" w:cs="宋体"/>
          <w:sz w:val="24"/>
          <w:highlight w:val="none"/>
          <w:lang w:eastAsia="zh-CN"/>
        </w:rPr>
        <w:t>。</w:t>
      </w:r>
    </w:p>
    <w:p>
      <w:pPr>
        <w:adjustRightInd w:val="0"/>
        <w:snapToGrid w:val="0"/>
        <w:spacing w:line="360" w:lineRule="auto"/>
        <w:rPr>
          <w:rFonts w:ascii="宋体" w:hAnsi="宋体" w:cs="宋体"/>
          <w:b/>
          <w:bCs/>
          <w:sz w:val="24"/>
        </w:rPr>
      </w:pPr>
      <w:r>
        <w:rPr>
          <w:rFonts w:hint="eastAsia" w:ascii="宋体" w:hAnsi="宋体" w:cs="宋体"/>
          <w:b/>
          <w:bCs/>
          <w:sz w:val="24"/>
        </w:rPr>
        <w:t>25. 出现下列情形之一的，采购人将终止竞争性磋商采购活动，发布项目终止公告并说明原因：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25.1因情况变化，不再符合规定的竞争性磋商采购方式适用情形的；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25.2出现影响采购公正的违法、违规行为的；</w:t>
      </w:r>
      <w:r>
        <w:rPr>
          <w:rFonts w:ascii="宋体" w:hAnsi="宋体" w:cs="宋体"/>
          <w:sz w:val="24"/>
        </w:rPr>
        <w:t xml:space="preserve">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25.3</w:t>
      </w:r>
      <w:r>
        <w:rPr>
          <w:sz w:val="24"/>
        </w:rPr>
        <w:t>除本磋商文件第</w:t>
      </w:r>
      <w:r>
        <w:rPr>
          <w:rFonts w:hint="eastAsia"/>
          <w:sz w:val="24"/>
        </w:rPr>
        <w:t>23.8</w:t>
      </w:r>
      <w:r>
        <w:rPr>
          <w:sz w:val="24"/>
        </w:rPr>
        <w:t>条规定的情形外，在采购过程中符合要求的供应商或者报价未超过采购预算的供应商不足</w:t>
      </w:r>
      <w:r>
        <w:rPr>
          <w:rFonts w:hint="eastAsia"/>
          <w:sz w:val="24"/>
        </w:rPr>
        <w:t>3</w:t>
      </w:r>
      <w:r>
        <w:rPr>
          <w:sz w:val="24"/>
        </w:rPr>
        <w:t>家的</w:t>
      </w:r>
      <w:r>
        <w:rPr>
          <w:rFonts w:hint="eastAsia"/>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25.4因重大变故，采购任务取消的。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磋商终止后，采购人应当将磋商终止的理由通知所有供应商。在特殊情况下，经采购人申请后，可以与两家或一家供应商进行磋商。</w:t>
      </w:r>
    </w:p>
    <w:p>
      <w:pPr>
        <w:adjustRightInd w:val="0"/>
        <w:snapToGrid w:val="0"/>
        <w:spacing w:line="360" w:lineRule="auto"/>
        <w:rPr>
          <w:rFonts w:ascii="宋体" w:hAnsi="宋体" w:cs="宋体"/>
          <w:b/>
          <w:bCs/>
          <w:sz w:val="24"/>
        </w:rPr>
      </w:pPr>
      <w:r>
        <w:rPr>
          <w:rFonts w:hint="eastAsia" w:ascii="宋体" w:hAnsi="宋体" w:cs="宋体"/>
          <w:b/>
          <w:bCs/>
          <w:sz w:val="24"/>
        </w:rPr>
        <w:t>26、推荐成交候选人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26.1磋商小组将对通过资格性审查和符合性审查的响应文件进行评价和比较。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26.2磋商小组按磋商文件第三章中公布的评审标准对每份合格响应文件进行评审，最终按评审得分由高到低顺序推荐3名成交候选供应商，并编写评审报告。</w:t>
      </w:r>
      <w:r>
        <w:rPr>
          <w:sz w:val="24"/>
        </w:rPr>
        <w:t>符合本文件第</w:t>
      </w:r>
      <w:r>
        <w:rPr>
          <w:rFonts w:hint="eastAsia"/>
          <w:sz w:val="24"/>
        </w:rPr>
        <w:t>23.8</w:t>
      </w:r>
      <w:r>
        <w:rPr>
          <w:sz w:val="24"/>
        </w:rPr>
        <w:t>条情形的，可以推荐2家成交候选供</w:t>
      </w:r>
      <w:r>
        <w:rPr>
          <w:sz w:val="24"/>
          <w:highlight w:val="none"/>
        </w:rPr>
        <w:t>应商。</w:t>
      </w:r>
      <w:r>
        <w:rPr>
          <w:rFonts w:hint="eastAsia" w:ascii="宋体" w:hAnsi="宋体" w:cs="宋体"/>
          <w:sz w:val="24"/>
          <w:highlight w:val="none"/>
        </w:rPr>
        <w:t>评审得分相同的，按照最后报价由低到高的顺序推荐。评审得分且最后报价相同的，按照技术指标优劣顺序推荐。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26</w:t>
      </w:r>
      <w:r>
        <w:rPr>
          <w:rFonts w:ascii="宋体" w:hAnsi="宋体" w:cs="宋体"/>
          <w:sz w:val="24"/>
        </w:rPr>
        <w:t xml:space="preserve">.3 </w:t>
      </w:r>
      <w:r>
        <w:rPr>
          <w:rFonts w:hint="eastAsia" w:ascii="宋体" w:hAnsi="宋体" w:cs="宋体"/>
          <w:sz w:val="24"/>
        </w:rPr>
        <w:t>磋商小组发现磋商文件存在歧义、重大缺陷导致评审工作无法进行，或者磋商文件内容存在违反国家有关规定的，评审工作停止，采购人将修改磋商文件后重新组织采购活动。</w:t>
      </w:r>
    </w:p>
    <w:p>
      <w:pPr>
        <w:adjustRightInd w:val="0"/>
        <w:snapToGrid w:val="0"/>
        <w:spacing w:line="360" w:lineRule="auto"/>
        <w:rPr>
          <w:rFonts w:ascii="宋体" w:hAnsi="宋体" w:cs="宋体"/>
          <w:b/>
          <w:bCs/>
          <w:sz w:val="24"/>
        </w:rPr>
      </w:pPr>
      <w:r>
        <w:rPr>
          <w:rFonts w:hint="eastAsia" w:ascii="宋体" w:hAnsi="宋体" w:cs="宋体"/>
          <w:b/>
          <w:bCs/>
          <w:sz w:val="24"/>
        </w:rPr>
        <w:t>27.磋商过程保密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27.1在宣布成交结果前，凡属于审查、澄清、磋商、评审响应文件和确定成交等相关信息，相关当事人均不得泄露给任何供应商或与评审工作无关的人员。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27.2供应商不得探听上述信息，不得以任何行为影响磋商过程，否则将被取消成交资格。</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27.3在磋商期间，采购人将指定联络员与供应商进行联络。</w:t>
      </w:r>
    </w:p>
    <w:p>
      <w:pPr>
        <w:adjustRightInd w:val="0"/>
        <w:snapToGrid w:val="0"/>
        <w:spacing w:line="360" w:lineRule="auto"/>
        <w:jc w:val="center"/>
        <w:rPr>
          <w:rFonts w:ascii="宋体" w:hAnsi="宋体" w:cs="宋体"/>
          <w:b/>
          <w:bCs/>
          <w:sz w:val="32"/>
          <w:szCs w:val="32"/>
        </w:rPr>
      </w:pPr>
      <w:r>
        <w:rPr>
          <w:rFonts w:hint="eastAsia" w:ascii="宋体" w:hAnsi="宋体" w:cs="宋体"/>
          <w:b/>
          <w:bCs/>
          <w:sz w:val="32"/>
          <w:szCs w:val="32"/>
        </w:rPr>
        <w:t>六、确定成交及签订合同</w:t>
      </w:r>
    </w:p>
    <w:p>
      <w:pPr>
        <w:adjustRightInd w:val="0"/>
        <w:snapToGrid w:val="0"/>
        <w:spacing w:line="360" w:lineRule="auto"/>
        <w:jc w:val="left"/>
        <w:rPr>
          <w:rFonts w:ascii="宋体" w:hAnsi="宋体" w:cs="宋体"/>
          <w:b/>
          <w:sz w:val="24"/>
          <w:highlight w:val="none"/>
        </w:rPr>
      </w:pPr>
      <w:r>
        <w:rPr>
          <w:rFonts w:hint="eastAsia" w:ascii="宋体" w:hAnsi="宋体" w:cs="宋体"/>
          <w:b/>
          <w:sz w:val="24"/>
        </w:rPr>
        <w:t>28、确定成交供应商</w:t>
      </w:r>
    </w:p>
    <w:p>
      <w:pPr>
        <w:adjustRightInd w:val="0"/>
        <w:snapToGrid w:val="0"/>
        <w:spacing w:line="360" w:lineRule="auto"/>
        <w:ind w:left="-19" w:leftChars="-9" w:firstLine="168" w:firstLineChars="70"/>
        <w:jc w:val="left"/>
        <w:rPr>
          <w:rFonts w:ascii="宋体" w:hAnsi="宋体" w:cs="宋体"/>
          <w:sz w:val="24"/>
          <w:lang w:val="zh-CN"/>
        </w:rPr>
      </w:pPr>
      <w:r>
        <w:rPr>
          <w:rFonts w:hint="eastAsia" w:ascii="宋体" w:hAnsi="宋体" w:cs="宋体"/>
          <w:sz w:val="24"/>
          <w:highlight w:val="none"/>
        </w:rPr>
        <w:t xml:space="preserve">  </w:t>
      </w:r>
      <w:r>
        <w:rPr>
          <w:rFonts w:hint="eastAsia" w:ascii="宋体" w:hAnsi="宋体" w:cs="宋体"/>
          <w:sz w:val="24"/>
          <w:highlight w:val="none"/>
          <w:lang w:val="zh-CN"/>
        </w:rPr>
        <w:t>28.1成交结果将在淮阴师范学院招标采购网进</w:t>
      </w:r>
      <w:r>
        <w:rPr>
          <w:rFonts w:hint="eastAsia" w:ascii="宋体" w:hAnsi="宋体" w:cs="宋体"/>
          <w:sz w:val="24"/>
          <w:lang w:val="zh-CN"/>
        </w:rPr>
        <w:t>行公告。</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28.2采购人将从评审报告提出的成交候选供应商中，按照排序由高到低的原则确定成交供应商。</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28.3成交供应商在合同签订前，如经查实从参加该成交项目之日起计算所参加的政府采购活动前三年内，在经营活动中有行贿犯罪记录的，</w:t>
      </w:r>
      <w:r>
        <w:rPr>
          <w:sz w:val="24"/>
        </w:rPr>
        <w:t>将被取消成交资格</w:t>
      </w:r>
      <w:r>
        <w:rPr>
          <w:rFonts w:hint="eastAsia" w:ascii="宋体" w:hAnsi="宋体" w:cs="宋体"/>
          <w:sz w:val="24"/>
          <w:lang w:val="zh-CN"/>
        </w:rPr>
        <w:t>。</w:t>
      </w:r>
    </w:p>
    <w:p>
      <w:pPr>
        <w:adjustRightInd w:val="0"/>
        <w:snapToGrid w:val="0"/>
        <w:spacing w:line="360" w:lineRule="auto"/>
        <w:jc w:val="left"/>
        <w:rPr>
          <w:rFonts w:ascii="宋体" w:hAnsi="宋体" w:cs="宋体"/>
          <w:b/>
          <w:sz w:val="24"/>
        </w:rPr>
      </w:pPr>
      <w:r>
        <w:rPr>
          <w:rFonts w:hint="eastAsia" w:ascii="宋体" w:hAnsi="宋体" w:cs="宋体"/>
          <w:b/>
          <w:sz w:val="24"/>
        </w:rPr>
        <w:t>29.成交通知书</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29.1成交结果公示结束且在无疑义情况下，采购人将通知成交供应商并向成交供应商发出成交通知书。</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29.2成交通知书对采购人及成交供应商同时均具法律效力。</w:t>
      </w:r>
    </w:p>
    <w:p>
      <w:pPr>
        <w:adjustRightInd w:val="0"/>
        <w:snapToGrid w:val="0"/>
        <w:spacing w:line="360" w:lineRule="auto"/>
        <w:jc w:val="left"/>
        <w:rPr>
          <w:rFonts w:ascii="宋体" w:hAnsi="宋体" w:cs="宋体"/>
          <w:b/>
          <w:sz w:val="24"/>
        </w:rPr>
      </w:pPr>
      <w:r>
        <w:rPr>
          <w:rFonts w:hint="eastAsia" w:ascii="宋体" w:hAnsi="宋体" w:cs="宋体"/>
          <w:b/>
          <w:sz w:val="24"/>
        </w:rPr>
        <w:t>30.签订合同</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30.1采购人与成交供应商应在中标通知书发出之日起三十日内签订政府采购合同。磋商文件、成交供应商的响应文件及澄清文件等均为签订合同依据。</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30.2成交供应商自成交通知书发出之日起三十日内无正当理由不与采购人签订合同的，将按规定进行处理。</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30.3</w:t>
      </w:r>
      <w:r>
        <w:rPr>
          <w:rFonts w:ascii="宋体" w:hAnsi="宋体" w:cs="宋体"/>
          <w:sz w:val="24"/>
          <w:lang w:val="zh-CN"/>
        </w:rPr>
        <w:t>签订合同后，成交供应商不得将成交产品或服务进行转包。未经采购人同意，成交供应商也不得采用分包的形式履行合同，否则采购人有权终止合同，</w:t>
      </w:r>
      <w:r>
        <w:rPr>
          <w:rFonts w:hint="eastAsia" w:ascii="宋体" w:hAnsi="宋体" w:cs="宋体"/>
          <w:sz w:val="24"/>
          <w:lang w:val="zh-CN"/>
        </w:rPr>
        <w:t>且</w:t>
      </w:r>
      <w:r>
        <w:rPr>
          <w:rFonts w:ascii="宋体" w:hAnsi="宋体" w:cs="宋体"/>
          <w:sz w:val="24"/>
          <w:lang w:val="zh-CN"/>
        </w:rPr>
        <w:t>成交供应商的履约保证金将不予退还。转包或分包造成采购人损失的，成交供应商应承担相应赔偿责任。</w:t>
      </w:r>
    </w:p>
    <w:p>
      <w:pPr>
        <w:adjustRightInd w:val="0"/>
        <w:snapToGrid w:val="0"/>
        <w:spacing w:line="360" w:lineRule="auto"/>
        <w:jc w:val="left"/>
        <w:rPr>
          <w:rFonts w:ascii="宋体" w:hAnsi="宋体" w:cs="宋体"/>
          <w:b/>
          <w:sz w:val="24"/>
        </w:rPr>
      </w:pPr>
      <w:r>
        <w:rPr>
          <w:rFonts w:hint="eastAsia" w:ascii="宋体" w:hAnsi="宋体" w:cs="宋体"/>
          <w:b/>
          <w:sz w:val="24"/>
        </w:rPr>
        <w:t>31.货物和服务的减少</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31.1采购结束后，采购人若由于各种客观原因，必须对采购项目所牵涉的货物和服务进行适当的减少时，在双方协商一致的前提下，可以按照磋商时的价格水平做相应的调减，并据此签订补充合同。</w:t>
      </w:r>
    </w:p>
    <w:p>
      <w:pPr>
        <w:adjustRightInd w:val="0"/>
        <w:snapToGrid w:val="0"/>
        <w:spacing w:line="360" w:lineRule="auto"/>
        <w:jc w:val="left"/>
        <w:rPr>
          <w:rFonts w:ascii="宋体" w:hAnsi="宋体" w:cs="宋体"/>
          <w:b/>
          <w:sz w:val="24"/>
        </w:rPr>
      </w:pPr>
      <w:r>
        <w:rPr>
          <w:rFonts w:hint="eastAsia" w:ascii="宋体" w:hAnsi="宋体" w:cs="宋体"/>
          <w:b/>
          <w:sz w:val="24"/>
        </w:rPr>
        <w:t>32.履约保证金</w:t>
      </w:r>
    </w:p>
    <w:p>
      <w:pPr>
        <w:adjustRightInd w:val="0"/>
        <w:snapToGrid w:val="0"/>
        <w:spacing w:line="360" w:lineRule="auto"/>
        <w:ind w:firstLine="480" w:firstLineChars="200"/>
        <w:rPr>
          <w:rFonts w:ascii="宋体" w:hAnsi="宋体" w:cs="宋体"/>
          <w:sz w:val="24"/>
          <w:lang w:val="zh-CN"/>
        </w:rPr>
      </w:pPr>
      <w:r>
        <w:rPr>
          <w:rFonts w:hint="eastAsia" w:ascii="宋体" w:hAnsi="宋体" w:cs="宋体"/>
          <w:sz w:val="24"/>
          <w:lang w:val="zh-CN"/>
        </w:rPr>
        <w:t>32.1为保证合同的顺利执行，成交供应商须在合同签订前向采购人提交金额为成交</w:t>
      </w:r>
      <w:r>
        <w:rPr>
          <w:rFonts w:hint="eastAsia" w:ascii="宋体" w:hAnsi="宋体" w:cs="宋体"/>
          <w:sz w:val="24"/>
          <w:highlight w:val="none"/>
          <w:lang w:val="zh-CN"/>
        </w:rPr>
        <w:t>总价</w:t>
      </w:r>
      <w:r>
        <w:rPr>
          <w:rFonts w:hint="eastAsia" w:ascii="宋体" w:hAnsi="宋体" w:cs="宋体"/>
          <w:sz w:val="24"/>
          <w:highlight w:val="none"/>
          <w:lang w:val="en-US" w:eastAsia="zh-CN"/>
        </w:rPr>
        <w:t>2</w:t>
      </w:r>
      <w:r>
        <w:rPr>
          <w:rFonts w:hint="eastAsia" w:ascii="宋体" w:hAnsi="宋体" w:cs="宋体"/>
          <w:sz w:val="24"/>
          <w:highlight w:val="none"/>
          <w:lang w:val="zh-CN"/>
        </w:rPr>
        <w:t>%的履约保证金。</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32.2履约保证金交纳信息：</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开户名称：淮阴师范学院</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开 户 行：淮安市工行城中支行</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银行账号：1110010109000050842</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32.3履约保证金将在采购项目验收合格后并按采购人要求完成全部交接后无息退还。</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32.4如果成交供应商没有按照29条或30条的规定去做，采购人将按政府采购相关规定取消其成交资格，在此情况下采购人可将标授予下一个成交候选供应商，或重新采购。</w:t>
      </w:r>
    </w:p>
    <w:p>
      <w:pPr>
        <w:adjustRightInd w:val="0"/>
        <w:snapToGrid w:val="0"/>
        <w:spacing w:line="360" w:lineRule="auto"/>
        <w:jc w:val="center"/>
        <w:rPr>
          <w:rFonts w:ascii="宋体" w:hAnsi="宋体" w:cs="宋体"/>
          <w:b/>
          <w:bCs/>
          <w:sz w:val="32"/>
          <w:szCs w:val="32"/>
        </w:rPr>
      </w:pPr>
      <w:r>
        <w:rPr>
          <w:rFonts w:hint="eastAsia" w:ascii="宋体" w:hAnsi="宋体" w:cs="宋体"/>
          <w:b/>
          <w:bCs/>
          <w:sz w:val="32"/>
          <w:szCs w:val="32"/>
        </w:rPr>
        <w:t>七、质疑处理</w:t>
      </w:r>
    </w:p>
    <w:p>
      <w:pPr>
        <w:adjustRightInd w:val="0"/>
        <w:snapToGrid w:val="0"/>
        <w:spacing w:line="360" w:lineRule="auto"/>
        <w:jc w:val="left"/>
        <w:rPr>
          <w:rFonts w:ascii="宋体" w:hAnsi="宋体" w:cs="宋体"/>
          <w:b/>
          <w:sz w:val="24"/>
        </w:rPr>
      </w:pPr>
      <w:r>
        <w:rPr>
          <w:rFonts w:hint="eastAsia" w:ascii="宋体" w:hAnsi="宋体" w:cs="宋体"/>
          <w:b/>
          <w:sz w:val="24"/>
        </w:rPr>
        <w:t>33</w:t>
      </w:r>
      <w:r>
        <w:rPr>
          <w:rFonts w:ascii="宋体" w:hAnsi="宋体" w:cs="宋体"/>
          <w:b/>
          <w:sz w:val="24"/>
        </w:rPr>
        <w:t>.</w:t>
      </w:r>
      <w:r>
        <w:rPr>
          <w:rFonts w:hint="eastAsia" w:ascii="宋体" w:hAnsi="宋体" w:cs="宋体"/>
          <w:b/>
          <w:sz w:val="24"/>
        </w:rPr>
        <w:t>质疑处理</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33</w:t>
      </w:r>
      <w:r>
        <w:rPr>
          <w:rFonts w:ascii="宋体" w:hAnsi="宋体" w:cs="宋体"/>
          <w:sz w:val="24"/>
          <w:lang w:val="zh-CN"/>
        </w:rPr>
        <w:t xml:space="preserve">.1 </w:t>
      </w:r>
      <w:r>
        <w:rPr>
          <w:rFonts w:hint="eastAsia" w:ascii="宋体" w:hAnsi="宋体" w:cs="宋体"/>
          <w:sz w:val="24"/>
          <w:lang w:val="zh-CN"/>
        </w:rPr>
        <w:t>供应商认为采购文件、采购过程和成交结果使自己的权益受到损害的，必须在现行政府采购法规规定的时间内，以书面形式向采购人提出质疑。</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33.2</w:t>
      </w:r>
      <w:r>
        <w:rPr>
          <w:rFonts w:ascii="宋体" w:hAnsi="宋体" w:cs="宋体"/>
          <w:sz w:val="24"/>
          <w:lang w:val="zh-CN"/>
        </w:rPr>
        <w:t>质疑供应商是指直接参加本次</w:t>
      </w:r>
      <w:r>
        <w:rPr>
          <w:rFonts w:hint="eastAsia" w:ascii="宋体" w:hAnsi="宋体" w:cs="宋体"/>
          <w:sz w:val="24"/>
          <w:lang w:val="zh-CN"/>
        </w:rPr>
        <w:t>磋商</w:t>
      </w:r>
      <w:r>
        <w:rPr>
          <w:rFonts w:ascii="宋体" w:hAnsi="宋体" w:cs="宋体"/>
          <w:sz w:val="24"/>
          <w:lang w:val="zh-CN"/>
        </w:rPr>
        <w:t>活动的供应商</w:t>
      </w:r>
      <w:r>
        <w:rPr>
          <w:rFonts w:hint="eastAsia" w:ascii="宋体" w:hAnsi="宋体" w:cs="宋体"/>
          <w:sz w:val="24"/>
          <w:lang w:val="zh-CN"/>
        </w:rPr>
        <w:t>，未参加磋商活动的供应商或在磋商活动中自身权益未受到损害的供应商所提出的质疑不予受理。</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33.3 质疑供应商在法定质疑期内应当一次性提出针对同一采购环节提出质疑。</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33</w:t>
      </w:r>
      <w:r>
        <w:rPr>
          <w:rFonts w:ascii="宋体" w:hAnsi="宋体" w:cs="宋体"/>
          <w:sz w:val="24"/>
          <w:lang w:val="zh-CN"/>
        </w:rPr>
        <w:t>.</w:t>
      </w:r>
      <w:r>
        <w:rPr>
          <w:rFonts w:hint="eastAsia" w:ascii="宋体" w:hAnsi="宋体" w:cs="宋体"/>
          <w:sz w:val="24"/>
          <w:lang w:val="zh-CN"/>
        </w:rPr>
        <w:t>4</w:t>
      </w:r>
      <w:r>
        <w:rPr>
          <w:rFonts w:ascii="宋体" w:hAnsi="宋体" w:cs="宋体"/>
          <w:sz w:val="24"/>
          <w:lang w:val="zh-CN"/>
        </w:rPr>
        <w:t xml:space="preserve"> </w:t>
      </w:r>
      <w:r>
        <w:rPr>
          <w:rFonts w:hint="eastAsia" w:ascii="宋体" w:hAnsi="宋体" w:cs="宋体"/>
          <w:sz w:val="24"/>
          <w:lang w:val="zh-CN"/>
        </w:rPr>
        <w:t>质疑函必须以参加磋商供应商法定代表人（签署本人姓名或印章）或授权代表[签署本人姓名或印章，应当同时提供法定代表人授权其办理质疑事项的授权书（授权中必须载明具体权限、期限和事项）</w:t>
      </w:r>
      <w:r>
        <w:rPr>
          <w:rFonts w:ascii="宋体" w:hAnsi="宋体" w:cs="宋体"/>
          <w:sz w:val="24"/>
          <w:lang w:val="zh-CN"/>
        </w:rPr>
        <w:t>]</w:t>
      </w:r>
      <w:r>
        <w:rPr>
          <w:rFonts w:hint="eastAsia" w:ascii="宋体" w:hAnsi="宋体" w:cs="宋体"/>
          <w:sz w:val="24"/>
          <w:lang w:val="zh-CN"/>
        </w:rPr>
        <w:t>以原件送达的方式提交，未按上述要求提交的质疑函（含传真、电子邮件等）采购人有权不予受理。</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33</w:t>
      </w:r>
      <w:r>
        <w:rPr>
          <w:rFonts w:ascii="宋体" w:hAnsi="宋体" w:cs="宋体"/>
          <w:sz w:val="24"/>
          <w:lang w:val="zh-CN"/>
        </w:rPr>
        <w:t>.</w:t>
      </w:r>
      <w:r>
        <w:rPr>
          <w:rFonts w:hint="eastAsia" w:ascii="宋体" w:hAnsi="宋体" w:cs="宋体"/>
          <w:sz w:val="24"/>
          <w:lang w:val="zh-CN"/>
        </w:rPr>
        <w:t>5</w:t>
      </w:r>
      <w:r>
        <w:rPr>
          <w:rFonts w:ascii="宋体" w:hAnsi="宋体" w:cs="宋体"/>
          <w:sz w:val="24"/>
          <w:lang w:val="zh-CN"/>
        </w:rPr>
        <w:t xml:space="preserve"> </w:t>
      </w:r>
      <w:r>
        <w:rPr>
          <w:rFonts w:hint="eastAsia" w:ascii="宋体" w:hAnsi="宋体" w:cs="宋体"/>
          <w:sz w:val="24"/>
          <w:lang w:val="zh-CN"/>
        </w:rPr>
        <w:t>质疑函应当包括以下主要内容，并按照</w:t>
      </w:r>
      <w:r>
        <w:rPr>
          <w:rFonts w:ascii="宋体" w:hAnsi="宋体" w:cs="宋体"/>
          <w:sz w:val="24"/>
          <w:lang w:val="zh-CN"/>
        </w:rPr>
        <w:t>“</w:t>
      </w:r>
      <w:r>
        <w:rPr>
          <w:rFonts w:hint="eastAsia" w:ascii="宋体" w:hAnsi="宋体" w:cs="宋体"/>
          <w:sz w:val="24"/>
          <w:lang w:val="zh-CN"/>
        </w:rPr>
        <w:t>谁主张、谁举证</w:t>
      </w:r>
      <w:r>
        <w:rPr>
          <w:rFonts w:ascii="宋体" w:hAnsi="宋体" w:cs="宋体"/>
          <w:sz w:val="24"/>
          <w:lang w:val="zh-CN"/>
        </w:rPr>
        <w:t>”</w:t>
      </w:r>
      <w:r>
        <w:rPr>
          <w:rFonts w:hint="eastAsia" w:ascii="宋体" w:hAnsi="宋体" w:cs="宋体"/>
          <w:sz w:val="24"/>
          <w:lang w:val="zh-CN"/>
        </w:rPr>
        <w:t>的原则，附上相关证明材料。否则，采购人不予受理。</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w:t>
      </w:r>
      <w:r>
        <w:rPr>
          <w:rFonts w:ascii="宋体" w:hAnsi="宋体" w:cs="宋体"/>
          <w:sz w:val="24"/>
          <w:lang w:val="zh-CN"/>
        </w:rPr>
        <w:t>1</w:t>
      </w:r>
      <w:r>
        <w:rPr>
          <w:rFonts w:hint="eastAsia" w:ascii="宋体" w:hAnsi="宋体" w:cs="宋体"/>
          <w:sz w:val="24"/>
          <w:lang w:val="zh-CN"/>
        </w:rPr>
        <w:t>）质疑供应商的名称、地址、邮编、联系人及联系电话；</w:t>
      </w:r>
      <w:r>
        <w:rPr>
          <w:rFonts w:ascii="宋体" w:hAnsi="宋体" w:cs="宋体"/>
          <w:sz w:val="24"/>
          <w:lang w:val="zh-CN"/>
        </w:rPr>
        <w:t xml:space="preserve"> </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（2）质疑项目的名称；</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（3）具体、明确的质疑事项和与质疑事实相关的请求；</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（4）事实依据；</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（5）必要的法律依据；</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（6）提起质疑的日期；</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（7）质疑函应当署名:应当由法定代表人签字并加盖单位公章。</w:t>
      </w:r>
      <w:r>
        <w:rPr>
          <w:rFonts w:ascii="宋体" w:hAnsi="宋体" w:cs="宋体"/>
          <w:sz w:val="24"/>
          <w:lang w:val="zh-CN"/>
        </w:rPr>
        <w:t xml:space="preserve"> </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33</w:t>
      </w:r>
      <w:r>
        <w:rPr>
          <w:rFonts w:ascii="宋体" w:hAnsi="宋体" w:cs="宋体"/>
          <w:sz w:val="24"/>
          <w:lang w:val="zh-CN"/>
        </w:rPr>
        <w:t>.</w:t>
      </w:r>
      <w:r>
        <w:rPr>
          <w:rFonts w:hint="eastAsia" w:ascii="宋体" w:hAnsi="宋体" w:cs="宋体"/>
          <w:sz w:val="24"/>
          <w:lang w:val="zh-CN"/>
        </w:rPr>
        <w:t>6采购人收到质疑函后，将对质疑的形式和内容进行审查，如质疑函内容、格式不符合规定，采购人将告知质疑人进行补正。质疑人应当在法定质疑期限内进行补正并重新提交质疑函，拒不补正或者超过法定期限后未重新提交质疑函的，为无效质疑，采购人有权不予受理。</w:t>
      </w:r>
      <w:r>
        <w:rPr>
          <w:rFonts w:ascii="宋体" w:hAnsi="宋体" w:cs="宋体"/>
          <w:sz w:val="24"/>
          <w:lang w:val="zh-CN"/>
        </w:rPr>
        <w:t xml:space="preserve"> </w:t>
      </w:r>
    </w:p>
    <w:p>
      <w:pPr>
        <w:adjustRightInd w:val="0"/>
        <w:snapToGrid w:val="0"/>
        <w:spacing w:line="360" w:lineRule="auto"/>
        <w:ind w:left="-19" w:leftChars="-9" w:firstLine="408" w:firstLineChars="170"/>
        <w:jc w:val="left"/>
        <w:rPr>
          <w:rFonts w:ascii="宋体" w:hAnsi="宋体" w:cs="宋体"/>
          <w:sz w:val="24"/>
          <w:lang w:val="zh-CN"/>
        </w:rPr>
      </w:pPr>
      <w:r>
        <w:rPr>
          <w:rFonts w:hint="eastAsia" w:ascii="宋体" w:hAnsi="宋体" w:cs="宋体"/>
          <w:sz w:val="24"/>
          <w:lang w:val="zh-CN"/>
        </w:rPr>
        <w:t>33</w:t>
      </w:r>
      <w:r>
        <w:rPr>
          <w:rFonts w:ascii="宋体" w:hAnsi="宋体" w:cs="宋体"/>
          <w:sz w:val="24"/>
          <w:lang w:val="zh-CN"/>
        </w:rPr>
        <w:t>.</w:t>
      </w:r>
      <w:r>
        <w:rPr>
          <w:rFonts w:hint="eastAsia" w:ascii="宋体" w:hAnsi="宋体" w:cs="宋体"/>
          <w:sz w:val="24"/>
          <w:lang w:val="zh-CN"/>
        </w:rPr>
        <w:t>7对于内容、格式符合规定的质疑函，采购人将在七个工作日内以书面形式作出答复。</w:t>
      </w:r>
    </w:p>
    <w:p>
      <w:pPr>
        <w:spacing w:line="440" w:lineRule="exact"/>
        <w:jc w:val="center"/>
        <w:rPr>
          <w:rFonts w:cs="宋体" w:asciiTheme="minorEastAsia" w:hAnsiTheme="minorEastAsia" w:eastAsiaTheme="minorEastAsia"/>
          <w:b/>
          <w:bCs/>
          <w:sz w:val="36"/>
        </w:rPr>
      </w:pPr>
    </w:p>
    <w:p>
      <w:pPr>
        <w:spacing w:line="440" w:lineRule="exact"/>
        <w:jc w:val="center"/>
        <w:rPr>
          <w:rFonts w:cs="宋体" w:asciiTheme="minorEastAsia" w:hAnsiTheme="minorEastAsia" w:eastAsiaTheme="minorEastAsia"/>
          <w:b/>
          <w:bCs/>
          <w:sz w:val="36"/>
        </w:rPr>
      </w:pPr>
    </w:p>
    <w:p>
      <w:pPr>
        <w:spacing w:line="440" w:lineRule="exact"/>
        <w:jc w:val="center"/>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bookmarkStart w:id="2" w:name="_Toc27660564"/>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r>
        <w:rPr>
          <w:rFonts w:hint="eastAsia" w:cs="宋体" w:asciiTheme="minorEastAsia" w:hAnsiTheme="minorEastAsia" w:eastAsiaTheme="minorEastAsia"/>
          <w:b/>
          <w:bCs/>
          <w:sz w:val="36"/>
        </w:rPr>
        <w:t>第三章  评审标准</w:t>
      </w:r>
      <w:bookmarkEnd w:id="2"/>
    </w:p>
    <w:p>
      <w:pPr>
        <w:adjustRightInd w:val="0"/>
        <w:snapToGrid w:val="0"/>
        <w:spacing w:line="360" w:lineRule="auto"/>
        <w:ind w:firstLine="480" w:firstLineChars="200"/>
        <w:rPr>
          <w:sz w:val="24"/>
        </w:rPr>
      </w:pPr>
      <w:r>
        <w:rPr>
          <w:rFonts w:hint="eastAsia" w:ascii="宋体" w:hAnsi="宋体" w:cs="宋体"/>
          <w:sz w:val="24"/>
        </w:rPr>
        <w:t>一、本次项目采用综合评分法。磋商小组仅对确定为实质上响应磋商文件要求的响应文件进行评价和比较。</w:t>
      </w:r>
      <w:r>
        <w:rPr>
          <w:sz w:val="24"/>
        </w:rPr>
        <w:t>综合评分法，是指响应文件满足磋商文件全部实质性要求且按评审因素的量化指标评审得分最高的供应商为成交候选供应商的评审方法。评审时，磋商小组各成员独立对每个有效响应</w:t>
      </w:r>
      <w:r>
        <w:rPr>
          <w:rFonts w:hint="eastAsia"/>
          <w:sz w:val="24"/>
        </w:rPr>
        <w:t>的</w:t>
      </w:r>
      <w:r>
        <w:rPr>
          <w:sz w:val="24"/>
        </w:rPr>
        <w:t>文件进行评价、打分，然后汇总每个供应商每项评分因素的得分。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二、磋商小组将依据下列评审标准进行评审，本评审标准的总分为50分。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三、具体标准：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1、价格:30分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满足磋商文件要求且最后报价最低为磋商基准价，其价格分为满分。其他供应商的价格分按照下列公式计算（小数点后</w:t>
      </w:r>
      <w:r>
        <w:rPr>
          <w:rFonts w:hint="eastAsia"/>
          <w:sz w:val="24"/>
        </w:rPr>
        <w:t>四舍五入</w:t>
      </w:r>
      <w:r>
        <w:rPr>
          <w:rFonts w:hint="eastAsia" w:ascii="宋体" w:hAnsi="宋体" w:cs="宋体"/>
          <w:sz w:val="24"/>
        </w:rPr>
        <w:t xml:space="preserve">保留两位）: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磋商报价得分＝（磋商基准价/最后磋商报价）×30分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2、项目实施方案:5分</w:t>
      </w:r>
    </w:p>
    <w:p>
      <w:pPr>
        <w:adjustRightInd w:val="0"/>
        <w:snapToGrid w:val="0"/>
        <w:spacing w:line="360" w:lineRule="auto"/>
        <w:ind w:firstLine="480"/>
        <w:rPr>
          <w:rFonts w:ascii="宋体" w:hAnsi="宋体" w:cs="宋体"/>
          <w:bCs/>
          <w:kern w:val="0"/>
          <w:sz w:val="24"/>
        </w:rPr>
      </w:pPr>
      <w:r>
        <w:rPr>
          <w:rFonts w:hint="eastAsia" w:ascii="宋体" w:hAnsi="宋体" w:cs="宋体"/>
          <w:bCs/>
          <w:kern w:val="0"/>
          <w:sz w:val="24"/>
        </w:rPr>
        <w:t>根据磋商供应商对本次项目组织实施方案的科学性、规范性和可操作性，对本次项目进度、实施组织、管理与协调方法、质量管理、项目验收等方面描述的合理性和可操作性等方面进行综合评审。方案细致全面、科学合理、切实可行、有针对性、完全响应需求得5分；方案完整但科学可行性缺失、缺少针对性、基本符合项目实际要求的得3分；方案不完整且科学可行性缺失、缺少针对性、不能较好符合项目实际要求得1分；</w:t>
      </w:r>
      <w:r>
        <w:rPr>
          <w:rFonts w:ascii="宋体" w:hAnsi="宋体"/>
          <w:bCs/>
          <w:sz w:val="24"/>
        </w:rPr>
        <w:t>其他或未提供的不得分</w:t>
      </w:r>
      <w:r>
        <w:rPr>
          <w:rFonts w:hint="eastAsia" w:ascii="宋体" w:hAnsi="宋体"/>
          <w:bCs/>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3、履约能力、售后服务等:15分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（1）供应商具有有效期内ISO9001质量管理体系认证、ISO14001环境管理体系认证的，每提供一个得1分，本项最多得2分，没有不得分。</w:t>
      </w:r>
    </w:p>
    <w:p>
      <w:pPr>
        <w:adjustRightInd w:val="0"/>
        <w:snapToGrid w:val="0"/>
        <w:spacing w:line="360" w:lineRule="auto"/>
        <w:ind w:firstLine="480" w:firstLineChars="200"/>
        <w:rPr>
          <w:sz w:val="24"/>
        </w:rPr>
      </w:pPr>
      <w:r>
        <w:rPr>
          <w:rFonts w:hint="eastAsia" w:ascii="宋体" w:hAnsi="宋体" w:cs="宋体"/>
          <w:sz w:val="24"/>
        </w:rPr>
        <w:t>（2）供应商自2016年以来（以合同签署日期为准）具有承接过实验室建设项目业绩的，每提供1个得2分，本项最多得8分，不提供不得分。</w:t>
      </w:r>
    </w:p>
    <w:p>
      <w:pPr>
        <w:adjustRightInd w:val="0"/>
        <w:snapToGrid w:val="0"/>
        <w:spacing w:line="360" w:lineRule="auto"/>
        <w:ind w:firstLine="480" w:firstLineChars="200"/>
        <w:rPr>
          <w:rFonts w:ascii="宋体" w:hAnsi="宋体" w:cs="宋体"/>
          <w:sz w:val="24"/>
        </w:rPr>
      </w:pPr>
      <w:r>
        <w:rPr>
          <w:rFonts w:hint="eastAsia" w:ascii="宋体" w:hAnsi="宋体" w:cs="宋体"/>
          <w:sz w:val="24"/>
          <w:highlight w:val="none"/>
        </w:rPr>
        <w:t>（3）</w:t>
      </w:r>
      <w:r>
        <w:rPr>
          <w:rFonts w:hint="eastAsia"/>
          <w:sz w:val="24"/>
          <w:highlight w:val="none"/>
          <w:lang w:val="zh-CN"/>
        </w:rPr>
        <w:t>针对</w:t>
      </w:r>
      <w:r>
        <w:rPr>
          <w:rFonts w:hint="eastAsia"/>
          <w:sz w:val="24"/>
          <w:lang w:val="zh-CN"/>
        </w:rPr>
        <w:t>提供的货物等出现故障时，供应商承诺维修人员在接到通知后24小时内</w:t>
      </w:r>
      <w:r>
        <w:rPr>
          <w:rFonts w:hint="eastAsia"/>
          <w:sz w:val="24"/>
          <w:highlight w:val="none"/>
          <w:lang w:val="zh-CN"/>
        </w:rPr>
        <w:t>到达现</w:t>
      </w:r>
      <w:r>
        <w:rPr>
          <w:rFonts w:hint="eastAsia"/>
          <w:sz w:val="24"/>
          <w:lang w:val="zh-CN"/>
        </w:rPr>
        <w:t>场维修的得2分，不提供不得分。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（4）供应商在完全满足采购文件中规定的项目2年免费维保期的基础上，每承诺增加0.5年的得0.75分，本项最多得3分，不承诺不得分。</w:t>
      </w:r>
    </w:p>
    <w:p>
      <w:pPr>
        <w:pStyle w:val="17"/>
        <w:adjustRightInd w:val="0"/>
        <w:snapToGrid w:val="0"/>
        <w:spacing w:before="159" w:beforeLines="50" w:after="159" w:afterLines="50" w:line="600" w:lineRule="exact"/>
        <w:ind w:firstLine="0"/>
        <w:jc w:val="center"/>
        <w:outlineLvl w:val="0"/>
        <w:rPr>
          <w:rFonts w:cs="宋体" w:asciiTheme="minorEastAsia" w:hAnsiTheme="minorEastAsia" w:eastAsiaTheme="minorEastAsia"/>
          <w:b/>
          <w:bCs/>
          <w:sz w:val="36"/>
        </w:rPr>
      </w:pPr>
      <w:r>
        <w:rPr>
          <w:rFonts w:hint="eastAsia" w:ascii="宋体" w:cs="宋体"/>
          <w:b/>
          <w:sz w:val="36"/>
          <w:szCs w:val="36"/>
        </w:rPr>
        <w:br w:type="page"/>
      </w:r>
      <w:bookmarkStart w:id="3" w:name="_Toc27660565"/>
      <w:r>
        <w:rPr>
          <w:rFonts w:hint="eastAsia" w:cs="宋体" w:asciiTheme="minorEastAsia" w:hAnsiTheme="minorEastAsia" w:eastAsiaTheme="minorEastAsia"/>
          <w:b/>
          <w:bCs/>
          <w:sz w:val="36"/>
        </w:rPr>
        <w:t>第四章  合同主要条款</w:t>
      </w:r>
      <w:bookmarkEnd w:id="3"/>
    </w:p>
    <w:p>
      <w:pPr>
        <w:adjustRightInd w:val="0"/>
        <w:snapToGrid w:val="0"/>
        <w:spacing w:line="360" w:lineRule="auto"/>
        <w:ind w:firstLine="472" w:firstLineChars="197"/>
        <w:rPr>
          <w:rFonts w:asciiTheme="minorEastAsia" w:hAnsiTheme="minorEastAsia" w:eastAsiaTheme="minorEastAsia"/>
          <w:bCs/>
          <w:sz w:val="24"/>
        </w:rPr>
      </w:pPr>
      <w:r>
        <w:rPr>
          <w:rFonts w:hint="eastAsia" w:asciiTheme="minorEastAsia" w:hAnsiTheme="minorEastAsia" w:eastAsiaTheme="minorEastAsia"/>
          <w:bCs/>
          <w:sz w:val="24"/>
        </w:rPr>
        <w:t>注:以下为采购人提出成交后签订本项目合同的条款，供应商必须实质性响应，成交供应商不得提出实质性的修改，关于专用条款将由采购人与成交供应商结合本项目具体情况协商后签订。</w:t>
      </w:r>
    </w:p>
    <w:p>
      <w:pPr>
        <w:pStyle w:val="10"/>
        <w:adjustRightInd w:val="0"/>
        <w:snapToGrid w:val="0"/>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一、合同格式</w:t>
      </w:r>
    </w:p>
    <w:p>
      <w:pPr>
        <w:autoSpaceDE w:val="0"/>
        <w:autoSpaceDN w:val="0"/>
        <w:adjustRightInd w:val="0"/>
        <w:snapToGrid w:val="0"/>
        <w:spacing w:line="360" w:lineRule="auto"/>
        <w:jc w:val="left"/>
        <w:rPr>
          <w:rFonts w:cs="Arial Unicode MS" w:asciiTheme="minorEastAsia" w:hAnsiTheme="minorEastAsia" w:eastAsiaTheme="minorEastAsia"/>
          <w:color w:val="000000"/>
          <w:kern w:val="0"/>
          <w:sz w:val="24"/>
        </w:rPr>
      </w:pPr>
      <w:r>
        <w:rPr>
          <w:rFonts w:hint="eastAsia" w:cs="Arial Unicode MS" w:asciiTheme="minorEastAsia" w:hAnsiTheme="minorEastAsia" w:eastAsiaTheme="minorEastAsia"/>
          <w:color w:val="000000"/>
          <w:kern w:val="0"/>
          <w:sz w:val="24"/>
        </w:rPr>
        <w:t>甲方</w:t>
      </w:r>
      <w:r>
        <w:rPr>
          <w:rFonts w:cs="Arial Unicode MS" w:asciiTheme="minorEastAsia" w:hAnsiTheme="minorEastAsia" w:eastAsiaTheme="minorEastAsia"/>
          <w:color w:val="000000"/>
          <w:kern w:val="0"/>
          <w:sz w:val="24"/>
        </w:rPr>
        <w:t xml:space="preserve">: </w:t>
      </w:r>
    </w:p>
    <w:p>
      <w:pPr>
        <w:pStyle w:val="10"/>
        <w:adjustRightInd w:val="0"/>
        <w:snapToGrid w:val="0"/>
        <w:spacing w:line="360" w:lineRule="auto"/>
        <w:rPr>
          <w:rFonts w:asciiTheme="minorEastAsia" w:hAnsiTheme="minorEastAsia" w:eastAsiaTheme="minorEastAsia"/>
          <w:sz w:val="24"/>
          <w:szCs w:val="24"/>
        </w:rPr>
      </w:pPr>
      <w:r>
        <w:rPr>
          <w:rFonts w:hint="eastAsia" w:cs="Arial Unicode MS" w:asciiTheme="minorEastAsia" w:hAnsiTheme="minorEastAsia" w:eastAsiaTheme="minorEastAsia"/>
          <w:color w:val="000000"/>
          <w:kern w:val="0"/>
          <w:sz w:val="24"/>
          <w:szCs w:val="24"/>
        </w:rPr>
        <w:t>乙方</w:t>
      </w:r>
      <w:r>
        <w:rPr>
          <w:rFonts w:cs="Arial Unicode MS" w:asciiTheme="minorEastAsia" w:hAnsiTheme="minorEastAsia" w:eastAsiaTheme="minorEastAsia"/>
          <w:color w:val="000000"/>
          <w:kern w:val="0"/>
          <w:sz w:val="24"/>
          <w:szCs w:val="24"/>
        </w:rPr>
        <w:t>:</w:t>
      </w:r>
    </w:p>
    <w:p>
      <w:pPr>
        <w:pStyle w:val="10"/>
        <w:adjustRightInd w:val="0"/>
        <w:snapToGrid w:val="0"/>
        <w:spacing w:line="360" w:lineRule="auto"/>
        <w:ind w:firstLine="544" w:firstLineChars="227"/>
        <w:rPr>
          <w:rFonts w:asciiTheme="minorEastAsia" w:hAnsiTheme="minorEastAsia" w:eastAsiaTheme="minorEastAsia"/>
          <w:sz w:val="24"/>
          <w:szCs w:val="24"/>
        </w:rPr>
      </w:pPr>
      <w:r>
        <w:rPr>
          <w:rFonts w:hint="eastAsia" w:asciiTheme="minorEastAsia" w:hAnsiTheme="minorEastAsia" w:eastAsiaTheme="minorEastAsia"/>
          <w:sz w:val="24"/>
          <w:szCs w:val="24"/>
        </w:rPr>
        <w:t>甲、乙双方根据项目编号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采购项目竞争性磋商采购结果及磋商文件的要求</w:t>
      </w:r>
      <w:r>
        <w:rPr>
          <w:rFonts w:asciiTheme="minorEastAsia" w:hAnsiTheme="minorEastAsia" w:eastAsiaTheme="minorEastAsia"/>
          <w:sz w:val="24"/>
          <w:szCs w:val="24"/>
        </w:rPr>
        <w:t>,</w:t>
      </w:r>
      <w:r>
        <w:rPr>
          <w:rFonts w:hint="eastAsia" w:asciiTheme="minorEastAsia" w:hAnsiTheme="minorEastAsia" w:eastAsiaTheme="minorEastAsia"/>
          <w:sz w:val="24"/>
          <w:szCs w:val="24"/>
        </w:rPr>
        <w:t>经协商一致</w:t>
      </w:r>
      <w:r>
        <w:rPr>
          <w:rFonts w:asciiTheme="minorEastAsia" w:hAnsiTheme="minorEastAsia" w:eastAsiaTheme="minorEastAsia"/>
          <w:sz w:val="24"/>
          <w:szCs w:val="24"/>
        </w:rPr>
        <w:t>,</w:t>
      </w:r>
      <w:r>
        <w:rPr>
          <w:rFonts w:hint="eastAsia" w:asciiTheme="minorEastAsia" w:hAnsiTheme="minorEastAsia" w:eastAsiaTheme="minorEastAsia"/>
          <w:sz w:val="24"/>
          <w:szCs w:val="24"/>
        </w:rPr>
        <w:t>达成如下购销合同</w:t>
      </w:r>
      <w:r>
        <w:rPr>
          <w:rFonts w:asciiTheme="minorEastAsia" w:hAnsiTheme="minorEastAsia" w:eastAsiaTheme="minorEastAsia"/>
          <w:sz w:val="24"/>
          <w:szCs w:val="24"/>
        </w:rPr>
        <w:t>:</w:t>
      </w:r>
    </w:p>
    <w:p>
      <w:pPr>
        <w:pStyle w:val="10"/>
        <w:adjustRightInd w:val="0"/>
        <w:snapToGrid w:val="0"/>
        <w:spacing w:line="360" w:lineRule="auto"/>
        <w:ind w:left="-359" w:leftChars="-171" w:firstLine="825" w:firstLineChars="344"/>
        <w:rPr>
          <w:rFonts w:asciiTheme="minorEastAsia" w:hAnsiTheme="minorEastAsia" w:eastAsiaTheme="minorEastAsia"/>
          <w:sz w:val="24"/>
          <w:szCs w:val="24"/>
        </w:rPr>
      </w:pPr>
      <w:r>
        <w:rPr>
          <w:rFonts w:hint="eastAsia" w:asciiTheme="minorEastAsia" w:hAnsiTheme="minorEastAsia" w:eastAsiaTheme="minorEastAsia"/>
          <w:sz w:val="24"/>
          <w:szCs w:val="24"/>
        </w:rPr>
        <w:t>一、货物及数量</w:t>
      </w:r>
    </w:p>
    <w:p>
      <w:pPr>
        <w:pStyle w:val="1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本合同所提供的货物及数量详见“项目采购需求”。</w:t>
      </w:r>
    </w:p>
    <w:p>
      <w:pPr>
        <w:pStyle w:val="10"/>
        <w:adjustRightInd w:val="0"/>
        <w:snapToGrid w:val="0"/>
        <w:spacing w:line="360" w:lineRule="auto"/>
        <w:ind w:left="-359" w:leftChars="-171" w:firstLine="825" w:firstLineChars="344"/>
        <w:rPr>
          <w:rFonts w:asciiTheme="minorEastAsia" w:hAnsiTheme="minorEastAsia" w:eastAsiaTheme="minorEastAsia"/>
          <w:sz w:val="24"/>
          <w:szCs w:val="24"/>
        </w:rPr>
      </w:pPr>
      <w:r>
        <w:rPr>
          <w:rFonts w:hint="eastAsia" w:asciiTheme="minorEastAsia" w:hAnsiTheme="minorEastAsia" w:eastAsiaTheme="minorEastAsia"/>
          <w:sz w:val="24"/>
          <w:szCs w:val="24"/>
        </w:rPr>
        <w:t>二、合同金额</w:t>
      </w:r>
    </w:p>
    <w:p>
      <w:pPr>
        <w:pStyle w:val="10"/>
        <w:adjustRightInd w:val="0"/>
        <w:snapToGrid w:val="0"/>
        <w:spacing w:line="360" w:lineRule="auto"/>
        <w:ind w:firstLine="424"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本合同的总金额为人民币___________元(大写)。合同分项价格详见乙方提交的磋商报价表，但须根据“最后报价/首次报价”的下浮比例进行折算。</w:t>
      </w:r>
    </w:p>
    <w:p>
      <w:pPr>
        <w:pStyle w:val="10"/>
        <w:adjustRightInd w:val="0"/>
        <w:snapToGrid w:val="0"/>
        <w:spacing w:line="360" w:lineRule="auto"/>
        <w:ind w:left="-359" w:leftChars="-171" w:firstLine="825" w:firstLineChars="344"/>
        <w:rPr>
          <w:rFonts w:asciiTheme="minorEastAsia" w:hAnsiTheme="minorEastAsia" w:eastAsiaTheme="minorEastAsia"/>
          <w:bCs/>
          <w:sz w:val="24"/>
          <w:szCs w:val="24"/>
        </w:rPr>
      </w:pPr>
      <w:r>
        <w:rPr>
          <w:rFonts w:hint="eastAsia" w:asciiTheme="minorEastAsia" w:hAnsiTheme="minorEastAsia" w:eastAsiaTheme="minorEastAsia"/>
          <w:bCs/>
          <w:sz w:val="24"/>
          <w:szCs w:val="24"/>
        </w:rPr>
        <w:t>三、</w:t>
      </w:r>
      <w:r>
        <w:rPr>
          <w:rFonts w:hint="eastAsia" w:asciiTheme="minorEastAsia" w:hAnsiTheme="minorEastAsia" w:eastAsiaTheme="minorEastAsia"/>
          <w:sz w:val="24"/>
          <w:szCs w:val="24"/>
        </w:rPr>
        <w:t>供货时间和地点</w:t>
      </w:r>
    </w:p>
    <w:p>
      <w:pPr>
        <w:pStyle w:val="1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本合同供货时间和地点在磋商文件中有明确规定。</w:t>
      </w:r>
    </w:p>
    <w:p>
      <w:pPr>
        <w:pStyle w:val="10"/>
        <w:adjustRightInd w:val="0"/>
        <w:snapToGrid w:val="0"/>
        <w:spacing w:line="360" w:lineRule="auto"/>
        <w:ind w:left="-357" w:leftChars="-170" w:firstLine="825" w:firstLineChars="344"/>
        <w:rPr>
          <w:rFonts w:asciiTheme="minorEastAsia" w:hAnsiTheme="minorEastAsia" w:eastAsiaTheme="minorEastAsia"/>
          <w:sz w:val="24"/>
          <w:szCs w:val="24"/>
        </w:rPr>
      </w:pPr>
      <w:r>
        <w:rPr>
          <w:rFonts w:hint="eastAsia" w:asciiTheme="minorEastAsia" w:hAnsiTheme="minorEastAsia" w:eastAsiaTheme="minorEastAsia"/>
          <w:sz w:val="24"/>
          <w:szCs w:val="24"/>
        </w:rPr>
        <w:t>四、付款</w:t>
      </w:r>
    </w:p>
    <w:p>
      <w:pPr>
        <w:pStyle w:val="1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本合同的付款条件在磋商文件中有明确规定。</w:t>
      </w:r>
    </w:p>
    <w:p>
      <w:pPr>
        <w:pStyle w:val="1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五、验收</w:t>
      </w:r>
    </w:p>
    <w:p>
      <w:pPr>
        <w:pStyle w:val="1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甲方按磋商文件相关要求进行。如需委托第三方验收，第三方是指:</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，验收费用由甲方承担。因乙方交付的货物不符合标准导致甲方重复支出的验收费用，由乙方承担。</w:t>
      </w:r>
      <w:r>
        <w:rPr>
          <w:rFonts w:asciiTheme="minorEastAsia" w:hAnsiTheme="minorEastAsia" w:eastAsiaTheme="minorEastAsia"/>
          <w:sz w:val="24"/>
          <w:szCs w:val="24"/>
        </w:rPr>
        <w:t xml:space="preserve"> </w:t>
      </w:r>
    </w:p>
    <w:p>
      <w:pPr>
        <w:pStyle w:val="1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六、履约保证金</w:t>
      </w:r>
    </w:p>
    <w:p>
      <w:pPr>
        <w:adjustRightInd w:val="0"/>
        <w:snapToGrid w:val="0"/>
        <w:spacing w:line="360" w:lineRule="auto"/>
        <w:ind w:firstLine="567"/>
        <w:rPr>
          <w:rFonts w:asciiTheme="minorEastAsia" w:hAnsiTheme="minorEastAsia" w:eastAsiaTheme="minorEastAsia"/>
          <w:sz w:val="24"/>
        </w:rPr>
      </w:pPr>
      <w:r>
        <w:rPr>
          <w:rFonts w:hint="eastAsia" w:asciiTheme="minorEastAsia" w:hAnsiTheme="minorEastAsia" w:eastAsiaTheme="minorEastAsia"/>
          <w:sz w:val="24"/>
        </w:rPr>
        <w:t>1、乙方应在合同签订之前，向采购人提供相当于成交总价</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%的履约保证金。</w:t>
      </w:r>
    </w:p>
    <w:p>
      <w:pPr>
        <w:adjustRightInd w:val="0"/>
        <w:snapToGrid w:val="0"/>
        <w:spacing w:line="360" w:lineRule="auto"/>
        <w:ind w:firstLine="567"/>
        <w:rPr>
          <w:rFonts w:asciiTheme="minorEastAsia" w:hAnsiTheme="minorEastAsia" w:eastAsiaTheme="minorEastAsia"/>
          <w:sz w:val="24"/>
        </w:rPr>
      </w:pPr>
      <w:r>
        <w:rPr>
          <w:rFonts w:hint="eastAsia" w:asciiTheme="minorEastAsia" w:hAnsiTheme="minorEastAsia" w:eastAsiaTheme="minorEastAsia"/>
          <w:sz w:val="24"/>
        </w:rPr>
        <w:t>履约保证金交纳信息:</w:t>
      </w:r>
    </w:p>
    <w:p>
      <w:pPr>
        <w:adjustRightInd w:val="0"/>
        <w:snapToGrid w:val="0"/>
        <w:spacing w:line="360" w:lineRule="auto"/>
        <w:ind w:left="-19" w:leftChars="-9" w:firstLine="528" w:firstLineChars="220"/>
        <w:jc w:val="left"/>
        <w:rPr>
          <w:rFonts w:ascii="宋体" w:hAnsi="宋体" w:cs="宋体"/>
          <w:sz w:val="24"/>
          <w:lang w:val="zh-CN"/>
        </w:rPr>
      </w:pPr>
      <w:r>
        <w:rPr>
          <w:rFonts w:hint="eastAsia" w:ascii="宋体" w:hAnsi="宋体" w:cs="宋体"/>
          <w:sz w:val="24"/>
          <w:lang w:val="zh-CN"/>
        </w:rPr>
        <w:t>开户名:淮阴师范学院</w:t>
      </w:r>
    </w:p>
    <w:p>
      <w:pPr>
        <w:adjustRightInd w:val="0"/>
        <w:snapToGrid w:val="0"/>
        <w:spacing w:line="360" w:lineRule="auto"/>
        <w:ind w:left="-19" w:leftChars="-9" w:firstLine="528" w:firstLineChars="220"/>
        <w:jc w:val="left"/>
        <w:rPr>
          <w:rFonts w:ascii="宋体" w:hAnsi="宋体" w:cs="宋体"/>
          <w:sz w:val="24"/>
          <w:lang w:val="zh-CN"/>
        </w:rPr>
      </w:pPr>
      <w:r>
        <w:rPr>
          <w:rFonts w:hint="eastAsia" w:ascii="宋体" w:hAnsi="宋体" w:cs="宋体"/>
          <w:sz w:val="24"/>
          <w:lang w:val="zh-CN"/>
        </w:rPr>
        <w:t>开户行：淮安市工行城中支行</w:t>
      </w:r>
    </w:p>
    <w:p>
      <w:pPr>
        <w:adjustRightInd w:val="0"/>
        <w:snapToGrid w:val="0"/>
        <w:spacing w:line="360" w:lineRule="auto"/>
        <w:ind w:left="-19" w:leftChars="-9" w:firstLine="528" w:firstLineChars="220"/>
        <w:jc w:val="left"/>
        <w:rPr>
          <w:rFonts w:ascii="宋体" w:hAnsi="宋体" w:cs="宋体"/>
          <w:sz w:val="24"/>
          <w:lang w:val="zh-CN"/>
        </w:rPr>
      </w:pPr>
      <w:r>
        <w:rPr>
          <w:rFonts w:hint="eastAsia" w:ascii="宋体" w:hAnsi="宋体" w:cs="宋体"/>
          <w:sz w:val="24"/>
          <w:lang w:val="zh-CN"/>
        </w:rPr>
        <w:t>账  号：1110010109000050842</w:t>
      </w:r>
    </w:p>
    <w:p>
      <w:pPr>
        <w:adjustRightInd w:val="0"/>
        <w:snapToGrid w:val="0"/>
        <w:spacing w:line="360" w:lineRule="auto"/>
        <w:ind w:left="-19" w:leftChars="-9" w:firstLine="528" w:firstLineChars="220"/>
        <w:jc w:val="left"/>
        <w:rPr>
          <w:rFonts w:ascii="宋体" w:hAnsi="宋体" w:cs="宋体"/>
          <w:sz w:val="24"/>
          <w:lang w:val="zh-CN"/>
        </w:rPr>
      </w:pPr>
      <w:r>
        <w:rPr>
          <w:rFonts w:hint="eastAsia" w:ascii="宋体" w:hAnsi="宋体" w:cs="宋体"/>
          <w:sz w:val="24"/>
          <w:lang w:val="zh-CN"/>
        </w:rPr>
        <w:t>税  号：320804466007319</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2、乙方提供的履约保证金必须是人民币，形式为银行本票、汇票、支票、电汇。</w:t>
      </w:r>
      <w:r>
        <w:rPr>
          <w:rFonts w:hint="eastAsia" w:asciiTheme="minorEastAsia" w:hAnsiTheme="minorEastAsia" w:eastAsiaTheme="minorEastAsia"/>
          <w:sz w:val="24"/>
        </w:rPr>
        <w:cr/>
      </w:r>
      <w:r>
        <w:rPr>
          <w:rFonts w:hint="eastAsia" w:asciiTheme="minorEastAsia" w:hAnsiTheme="minorEastAsia" w:eastAsiaTheme="minorEastAsia"/>
          <w:sz w:val="24"/>
        </w:rPr>
        <w:t xml:space="preserve">    3、如乙方未能履行合同规定的义务，甲方有权从履约保证金中取得补偿。</w:t>
      </w:r>
      <w:r>
        <w:rPr>
          <w:rFonts w:hint="eastAsia" w:asciiTheme="minorEastAsia" w:hAnsiTheme="minorEastAsia" w:eastAsiaTheme="minorEastAsia"/>
          <w:sz w:val="24"/>
        </w:rPr>
        <w:cr/>
      </w:r>
      <w:r>
        <w:rPr>
          <w:rFonts w:hint="eastAsia" w:asciiTheme="minorEastAsia" w:hAnsiTheme="minorEastAsia" w:eastAsiaTheme="minorEastAsia"/>
          <w:sz w:val="24"/>
        </w:rPr>
        <w:t xml:space="preserve">    4、履约保证金在项目验收合格后无息退还给乙方。</w:t>
      </w:r>
    </w:p>
    <w:p>
      <w:pPr>
        <w:pStyle w:val="10"/>
        <w:adjustRightInd w:val="0"/>
        <w:snapToGrid w:val="0"/>
        <w:spacing w:line="360" w:lineRule="auto"/>
        <w:ind w:firstLine="482" w:firstLineChars="201"/>
        <w:rPr>
          <w:rFonts w:asciiTheme="minorEastAsia" w:hAnsiTheme="minorEastAsia" w:eastAsiaTheme="minorEastAsia"/>
          <w:sz w:val="24"/>
          <w:szCs w:val="24"/>
        </w:rPr>
      </w:pPr>
      <w:r>
        <w:rPr>
          <w:rFonts w:hint="eastAsia" w:asciiTheme="minorEastAsia" w:hAnsiTheme="minorEastAsia" w:eastAsiaTheme="minorEastAsia"/>
          <w:sz w:val="24"/>
          <w:szCs w:val="24"/>
        </w:rPr>
        <w:t>七、合同纠纷处理</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本合同执行过程中发生纠纷，由甲乙双方协商解决，若协商不成，作如下</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处理:</w:t>
      </w:r>
      <w:r>
        <w:rPr>
          <w:rFonts w:asciiTheme="minorEastAsia" w:hAnsiTheme="minorEastAsia" w:eastAsiaTheme="minorEastAsia"/>
          <w:sz w:val="24"/>
        </w:rPr>
        <w:t xml:space="preserve"> </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、申请仲裁。选定仲裁机构为淮安仲裁委员会。</w:t>
      </w:r>
      <w:r>
        <w:rPr>
          <w:rFonts w:asciiTheme="minorEastAsia" w:hAnsiTheme="minorEastAsia" w:eastAsiaTheme="minorEastAsia"/>
          <w:sz w:val="24"/>
        </w:rPr>
        <w:t xml:space="preserve"> </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、提起诉讼。约定由采购人所在地法院管辖。</w:t>
      </w:r>
      <w:r>
        <w:rPr>
          <w:rFonts w:asciiTheme="minorEastAsia" w:hAnsiTheme="minorEastAsia" w:eastAsiaTheme="minorEastAsia"/>
          <w:sz w:val="24"/>
        </w:rPr>
        <w:t xml:space="preserve"> </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八、合同生效及其它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本合同经甲、乙双方授权代表签字盖章后生效。如有变动，必须经甲方、乙方协商一致后方可更改。本合同一式五份，均具有同等法律效力，甲方执叁份，乙方执贰份。</w:t>
      </w:r>
    </w:p>
    <w:p>
      <w:pPr>
        <w:adjustRightInd w:val="0"/>
        <w:snapToGri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九、组成本合同的文件包括</w:t>
      </w:r>
    </w:p>
    <w:p>
      <w:pPr>
        <w:adjustRightInd w:val="0"/>
        <w:snapToGrid w:val="0"/>
        <w:spacing w:line="360" w:lineRule="auto"/>
        <w:ind w:firstLine="484" w:firstLineChars="202"/>
        <w:rPr>
          <w:rFonts w:asciiTheme="minorEastAsia" w:hAnsiTheme="minorEastAsia" w:eastAsiaTheme="minorEastAsia"/>
          <w:sz w:val="24"/>
        </w:rPr>
      </w:pPr>
      <w:r>
        <w:rPr>
          <w:rFonts w:hint="eastAsia" w:asciiTheme="minorEastAsia" w:hAnsiTheme="minorEastAsia" w:eastAsiaTheme="minorEastAsia"/>
          <w:sz w:val="24"/>
        </w:rPr>
        <w:t>1、合同格式及条款；</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2、磋商文件和乙方的响应文件；</w:t>
      </w:r>
      <w:r>
        <w:rPr>
          <w:rFonts w:asciiTheme="minorEastAsia" w:hAnsiTheme="minorEastAsia" w:eastAsiaTheme="minorEastAsia"/>
          <w:sz w:val="24"/>
        </w:rPr>
        <w:t xml:space="preserve"> </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3、成交通知书；</w:t>
      </w:r>
      <w:r>
        <w:rPr>
          <w:rFonts w:asciiTheme="minorEastAsia" w:hAnsiTheme="minorEastAsia" w:eastAsiaTheme="minorEastAsia"/>
          <w:sz w:val="24"/>
        </w:rPr>
        <w:t xml:space="preserve"> </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4、甲乙双方商定的其他必要文件。上述合同文件内容互为补充，如有不明确，由甲方负责解释。</w:t>
      </w:r>
    </w:p>
    <w:p>
      <w:pPr>
        <w:pStyle w:val="10"/>
        <w:adjustRightInd w:val="0"/>
        <w:snapToGrid w:val="0"/>
        <w:spacing w:line="360" w:lineRule="auto"/>
        <w:rPr>
          <w:rFonts w:asciiTheme="minorEastAsia" w:hAnsiTheme="minorEastAsia" w:eastAsiaTheme="minorEastAsia"/>
          <w:sz w:val="24"/>
          <w:szCs w:val="24"/>
        </w:rPr>
      </w:pP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    方:                          乙    方:</w:t>
      </w: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单位盖章:                          单位盖章:</w:t>
      </w: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代表签字:                          代表签字:</w:t>
      </w: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签定日期:                          签定日期:</w:t>
      </w:r>
    </w:p>
    <w:p>
      <w:pPr>
        <w:tabs>
          <w:tab w:val="left" w:pos="180"/>
        </w:tabs>
        <w:adjustRightInd w:val="0"/>
        <w:snapToGrid w:val="0"/>
        <w:spacing w:line="360" w:lineRule="auto"/>
        <w:jc w:val="center"/>
        <w:rPr>
          <w:rFonts w:asciiTheme="minorEastAsia" w:hAnsiTheme="minorEastAsia" w:eastAsiaTheme="minorEastAsia"/>
          <w:sz w:val="24"/>
        </w:rPr>
      </w:pPr>
    </w:p>
    <w:p>
      <w:pPr>
        <w:tabs>
          <w:tab w:val="left" w:pos="180"/>
        </w:tabs>
        <w:adjustRightInd w:val="0"/>
        <w:snapToGrid w:val="0"/>
        <w:spacing w:line="360" w:lineRule="auto"/>
        <w:jc w:val="center"/>
        <w:rPr>
          <w:rFonts w:asciiTheme="minorEastAsia" w:hAnsiTheme="minorEastAsia" w:eastAsiaTheme="minorEastAsia"/>
          <w:sz w:val="24"/>
        </w:rPr>
      </w:pPr>
    </w:p>
    <w:p>
      <w:pPr>
        <w:tabs>
          <w:tab w:val="left" w:pos="180"/>
        </w:tabs>
        <w:adjustRightInd w:val="0"/>
        <w:snapToGrid w:val="0"/>
        <w:spacing w:line="360" w:lineRule="auto"/>
        <w:jc w:val="center"/>
        <w:rPr>
          <w:rFonts w:asciiTheme="minorEastAsia" w:hAnsiTheme="minorEastAsia" w:eastAsiaTheme="minorEastAsia"/>
          <w:sz w:val="24"/>
        </w:rPr>
      </w:pPr>
    </w:p>
    <w:p>
      <w:pPr>
        <w:tabs>
          <w:tab w:val="left" w:pos="180"/>
        </w:tabs>
        <w:adjustRightInd w:val="0"/>
        <w:snapToGrid w:val="0"/>
        <w:spacing w:line="360" w:lineRule="auto"/>
        <w:jc w:val="center"/>
        <w:rPr>
          <w:rFonts w:asciiTheme="minorEastAsia" w:hAnsiTheme="minorEastAsia" w:eastAsiaTheme="minorEastAsia"/>
          <w:sz w:val="24"/>
        </w:rPr>
      </w:pPr>
    </w:p>
    <w:p>
      <w:pPr>
        <w:tabs>
          <w:tab w:val="left" w:pos="180"/>
        </w:tabs>
        <w:adjustRightInd w:val="0"/>
        <w:snapToGrid w:val="0"/>
        <w:spacing w:line="360" w:lineRule="auto"/>
        <w:jc w:val="center"/>
        <w:rPr>
          <w:rFonts w:asciiTheme="minorEastAsia" w:hAnsiTheme="minorEastAsia" w:eastAsiaTheme="minorEastAsia"/>
          <w:sz w:val="24"/>
        </w:rPr>
      </w:pPr>
    </w:p>
    <w:p>
      <w:pPr>
        <w:tabs>
          <w:tab w:val="left" w:pos="180"/>
        </w:tabs>
        <w:adjustRightInd w:val="0"/>
        <w:snapToGrid w:val="0"/>
        <w:spacing w:line="360" w:lineRule="auto"/>
        <w:jc w:val="center"/>
        <w:rPr>
          <w:rFonts w:asciiTheme="minorEastAsia" w:hAnsiTheme="minorEastAsia" w:eastAsiaTheme="minorEastAsia"/>
          <w:sz w:val="24"/>
        </w:rPr>
      </w:pPr>
    </w:p>
    <w:p>
      <w:pPr>
        <w:tabs>
          <w:tab w:val="left" w:pos="180"/>
        </w:tabs>
        <w:adjustRightInd w:val="0"/>
        <w:snapToGrid w:val="0"/>
        <w:spacing w:line="360" w:lineRule="auto"/>
        <w:jc w:val="center"/>
        <w:rPr>
          <w:rFonts w:asciiTheme="minorEastAsia" w:hAnsiTheme="minorEastAsia" w:eastAsiaTheme="minorEastAsia"/>
          <w:sz w:val="24"/>
        </w:rPr>
      </w:pPr>
    </w:p>
    <w:p>
      <w:pPr>
        <w:tabs>
          <w:tab w:val="left" w:pos="180"/>
        </w:tabs>
        <w:adjustRightInd w:val="0"/>
        <w:snapToGrid w:val="0"/>
        <w:spacing w:line="360" w:lineRule="auto"/>
        <w:jc w:val="center"/>
        <w:rPr>
          <w:rFonts w:asciiTheme="minorEastAsia" w:hAnsiTheme="minorEastAsia" w:eastAsiaTheme="minorEastAsia"/>
          <w:sz w:val="24"/>
        </w:rPr>
      </w:pPr>
    </w:p>
    <w:p>
      <w:pPr>
        <w:tabs>
          <w:tab w:val="left" w:pos="180"/>
        </w:tabs>
        <w:adjustRightInd w:val="0"/>
        <w:snapToGrid w:val="0"/>
        <w:spacing w:line="360" w:lineRule="auto"/>
        <w:jc w:val="center"/>
        <w:rPr>
          <w:rFonts w:asciiTheme="minorEastAsia" w:hAnsiTheme="minorEastAsia" w:eastAsiaTheme="minorEastAsia"/>
          <w:sz w:val="24"/>
        </w:rPr>
      </w:pPr>
    </w:p>
    <w:p>
      <w:pPr>
        <w:tabs>
          <w:tab w:val="left" w:pos="180"/>
        </w:tabs>
        <w:adjustRightInd w:val="0"/>
        <w:snapToGrid w:val="0"/>
        <w:spacing w:line="360" w:lineRule="auto"/>
        <w:jc w:val="center"/>
        <w:rPr>
          <w:rFonts w:asciiTheme="minorEastAsia" w:hAnsiTheme="minorEastAsia" w:eastAsiaTheme="minorEastAsia"/>
          <w:sz w:val="24"/>
        </w:rPr>
      </w:pPr>
    </w:p>
    <w:p>
      <w:pPr>
        <w:tabs>
          <w:tab w:val="left" w:pos="180"/>
        </w:tabs>
        <w:adjustRightInd w:val="0"/>
        <w:snapToGrid w:val="0"/>
        <w:spacing w:line="360" w:lineRule="auto"/>
        <w:jc w:val="center"/>
        <w:rPr>
          <w:rFonts w:asciiTheme="minorEastAsia" w:hAnsiTheme="minorEastAsia" w:eastAsiaTheme="minorEastAsia"/>
          <w:sz w:val="28"/>
          <w:szCs w:val="28"/>
        </w:rPr>
      </w:pPr>
    </w:p>
    <w:p>
      <w:pPr>
        <w:tabs>
          <w:tab w:val="left" w:pos="180"/>
        </w:tabs>
        <w:adjustRightInd w:val="0"/>
        <w:snapToGrid w:val="0"/>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二、合同条款</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1.定义</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本合同中下列术语应解释为:</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（1）“合同”系指甲方和乙方（以下简称合同双方）签署的、合同格式中列明的合同双方所达成的协议，包括所有的附件、附录和构成合同的所有文件。</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（2）“合同价”系指根据合同规定，乙方在完全履行合同义务后甲方应支付给乙方的价格。</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（3）“货物（含软件及相关服务）”系指乙方按合同要求，须向甲方提供的一切设备、机械、仪表、备件、工具、技术及手册等有关材料。</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（4）“服务”系指根据合同规定乙方承担与供货有关的所有辅助服务，如运输、保险以及其它的服务，如安装、调试、提供技术援助、培训和其他类似的义务。</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（5）“甲方”系指购买货物（含软件及相关服务）的单位。</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（6）“乙方”系指根据合同规定提供货物（含软件及相关服务）和服务的供应商。</w:t>
      </w:r>
    </w:p>
    <w:p>
      <w:pPr>
        <w:adjustRightInd w:val="0"/>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2.技术规范</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2.1提交货物（含软件及相关服务）的技术规范应与磋商文件的技术规范和技术规范附件（如果有的话）及响应文件的规格响应表（如果被甲方接受的话）相一致。若技术规范中无相应说明，则以国家有关部门最新颁布的相应标准及规范为准。</w:t>
      </w:r>
      <w:r>
        <w:rPr>
          <w:rFonts w:asciiTheme="minorEastAsia" w:hAnsiTheme="minorEastAsia" w:eastAsiaTheme="minorEastAsia"/>
          <w:sz w:val="24"/>
        </w:rPr>
        <w:t xml:space="preserve"> </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3.专利权</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3.1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4.包装要求</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4.1除合同另有规定外，乙方提供的全部货物（含软件及相关服务），均应按相应的标准保护措施进行包装，使包装适应于远距离运输、防潮、防震、防锈和防粗暴装卸，确保货物（含软件及相关服务）安全无损运抵制现场。由于包装不善所引起的货物（含软件及相关服务）锈蚀、损坏和损失均由乙方承担。</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4.2每件包装箱内应附一份详细装箱单和质量合格证。</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5.装运标志</w:t>
      </w:r>
    </w:p>
    <w:p>
      <w:pPr>
        <w:adjustRightInd w:val="0"/>
        <w:snapToGrid w:val="0"/>
        <w:spacing w:line="360" w:lineRule="auto"/>
        <w:ind w:firstLine="660"/>
        <w:rPr>
          <w:rFonts w:asciiTheme="minorEastAsia" w:hAnsiTheme="minorEastAsia" w:eastAsiaTheme="minorEastAsia"/>
          <w:sz w:val="24"/>
        </w:rPr>
      </w:pPr>
      <w:r>
        <w:rPr>
          <w:rFonts w:asciiTheme="minorEastAsia" w:hAnsiTheme="minorEastAsia" w:eastAsiaTheme="minorEastAsia"/>
          <w:sz w:val="24"/>
        </w:rPr>
        <w:t xml:space="preserve">5.1 </w:t>
      </w:r>
      <w:r>
        <w:rPr>
          <w:rFonts w:hint="eastAsia" w:asciiTheme="minorEastAsia" w:hAnsiTheme="minorEastAsia" w:eastAsiaTheme="minorEastAsia"/>
          <w:sz w:val="24"/>
        </w:rPr>
        <w:t>乙方应在每一包装箱邻接的四侧用不褪色的油漆以醒目的中文字样做出下列标记:</w:t>
      </w:r>
      <w:r>
        <w:rPr>
          <w:rFonts w:asciiTheme="minorEastAsia" w:hAnsiTheme="minorEastAsia" w:eastAsiaTheme="minorEastAsia"/>
          <w:sz w:val="24"/>
        </w:rPr>
        <w:t xml:space="preserve"> </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（1）收货人</w:t>
      </w:r>
      <w:r>
        <w:rPr>
          <w:rFonts w:asciiTheme="minorEastAsia" w:hAnsiTheme="minorEastAsia" w:eastAsiaTheme="minorEastAsia"/>
          <w:sz w:val="24"/>
        </w:rPr>
        <w:t xml:space="preserve"> </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）合同号</w:t>
      </w:r>
      <w:r>
        <w:rPr>
          <w:rFonts w:asciiTheme="minorEastAsia" w:hAnsiTheme="minorEastAsia" w:eastAsiaTheme="minorEastAsia"/>
          <w:sz w:val="24"/>
        </w:rPr>
        <w:t xml:space="preserve"> </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）装运标志</w:t>
      </w:r>
      <w:r>
        <w:rPr>
          <w:rFonts w:asciiTheme="minorEastAsia" w:hAnsiTheme="minorEastAsia" w:eastAsiaTheme="minorEastAsia"/>
          <w:sz w:val="24"/>
        </w:rPr>
        <w:t xml:space="preserve"> </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）收货人代号</w:t>
      </w:r>
      <w:r>
        <w:rPr>
          <w:rFonts w:asciiTheme="minorEastAsia" w:hAnsiTheme="minorEastAsia" w:eastAsiaTheme="minorEastAsia"/>
          <w:sz w:val="24"/>
        </w:rPr>
        <w:t xml:space="preserve"> </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）目的地</w:t>
      </w:r>
      <w:r>
        <w:rPr>
          <w:rFonts w:asciiTheme="minorEastAsia" w:hAnsiTheme="minorEastAsia" w:eastAsiaTheme="minorEastAsia"/>
          <w:sz w:val="24"/>
        </w:rPr>
        <w:t xml:space="preserve"> </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w:t>
      </w:r>
      <w:r>
        <w:rPr>
          <w:rFonts w:hint="eastAsia" w:asciiTheme="minorEastAsia" w:hAnsiTheme="minorEastAsia" w:eastAsiaTheme="minorEastAsia"/>
          <w:sz w:val="24"/>
        </w:rPr>
        <w:t>）货物（含软件及相关服务）名称、品目号和箱号</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7</w:t>
      </w:r>
      <w:r>
        <w:rPr>
          <w:rFonts w:hint="eastAsia" w:asciiTheme="minorEastAsia" w:hAnsiTheme="minorEastAsia" w:eastAsiaTheme="minorEastAsia"/>
          <w:sz w:val="24"/>
        </w:rPr>
        <w:t>）毛重／净重</w:t>
      </w:r>
      <w:r>
        <w:rPr>
          <w:rFonts w:asciiTheme="minorEastAsia" w:hAnsiTheme="minorEastAsia" w:eastAsiaTheme="minorEastAsia"/>
          <w:sz w:val="24"/>
        </w:rPr>
        <w:t xml:space="preserve"> </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8</w:t>
      </w:r>
      <w:r>
        <w:rPr>
          <w:rFonts w:hint="eastAsia" w:asciiTheme="minorEastAsia" w:hAnsiTheme="minorEastAsia" w:eastAsiaTheme="minorEastAsia"/>
          <w:sz w:val="24"/>
        </w:rPr>
        <w:t>）尺寸（长</w:t>
      </w:r>
      <w:r>
        <w:rPr>
          <w:rFonts w:asciiTheme="minorEastAsia" w:hAnsiTheme="minorEastAsia" w:eastAsiaTheme="minorEastAsia"/>
          <w:sz w:val="24"/>
        </w:rPr>
        <w:t>X</w:t>
      </w:r>
      <w:r>
        <w:rPr>
          <w:rFonts w:hint="eastAsia" w:asciiTheme="minorEastAsia" w:hAnsiTheme="minorEastAsia" w:eastAsiaTheme="minorEastAsia"/>
          <w:sz w:val="24"/>
        </w:rPr>
        <w:t>宽</w:t>
      </w:r>
      <w:r>
        <w:rPr>
          <w:rFonts w:asciiTheme="minorEastAsia" w:hAnsiTheme="minorEastAsia" w:eastAsiaTheme="minorEastAsia"/>
          <w:sz w:val="24"/>
        </w:rPr>
        <w:t>X</w:t>
      </w:r>
      <w:r>
        <w:rPr>
          <w:rFonts w:hint="eastAsia" w:asciiTheme="minorEastAsia" w:hAnsiTheme="minorEastAsia" w:eastAsiaTheme="minorEastAsia"/>
          <w:sz w:val="24"/>
        </w:rPr>
        <w:t>高，以厘米计）</w:t>
      </w:r>
      <w:r>
        <w:rPr>
          <w:rFonts w:asciiTheme="minorEastAsia" w:hAnsiTheme="minorEastAsia" w:eastAsiaTheme="minorEastAsia"/>
          <w:sz w:val="24"/>
        </w:rPr>
        <w:t xml:space="preserve"> </w:t>
      </w:r>
    </w:p>
    <w:p>
      <w:pPr>
        <w:adjustRightInd w:val="0"/>
        <w:snapToGrid w:val="0"/>
        <w:spacing w:line="360" w:lineRule="auto"/>
        <w:ind w:firstLine="660"/>
        <w:rPr>
          <w:rFonts w:asciiTheme="minorEastAsia" w:hAnsiTheme="minorEastAsia" w:eastAsiaTheme="minorEastAsia"/>
          <w:sz w:val="24"/>
        </w:rPr>
      </w:pPr>
      <w:r>
        <w:rPr>
          <w:rFonts w:asciiTheme="minorEastAsia" w:hAnsiTheme="minorEastAsia" w:eastAsiaTheme="minorEastAsia"/>
          <w:sz w:val="24"/>
        </w:rPr>
        <w:t xml:space="preserve">5.2 </w:t>
      </w:r>
      <w:r>
        <w:rPr>
          <w:rFonts w:hint="eastAsia" w:asciiTheme="minorEastAsia" w:hAnsiTheme="minorEastAsia" w:eastAsiaTheme="minorEastAsia"/>
          <w:sz w:val="24"/>
        </w:rPr>
        <w:t>如果货物（含软件及相关服务）单件重量在两吨或两吨以上，乙方应在每件包装箱的两侧用中文和适当的运输标志标明</w:t>
      </w:r>
      <w:r>
        <w:rPr>
          <w:rFonts w:asciiTheme="minorEastAsia" w:hAnsiTheme="minorEastAsia" w:eastAsiaTheme="minorEastAsia"/>
          <w:sz w:val="24"/>
        </w:rPr>
        <w:t>“</w:t>
      </w:r>
      <w:r>
        <w:rPr>
          <w:rFonts w:hint="eastAsia" w:asciiTheme="minorEastAsia" w:hAnsiTheme="minorEastAsia" w:eastAsiaTheme="minorEastAsia"/>
          <w:sz w:val="24"/>
        </w:rPr>
        <w:t>重心</w:t>
      </w:r>
      <w:r>
        <w:rPr>
          <w:rFonts w:asciiTheme="minorEastAsia" w:hAnsiTheme="minorEastAsia" w:eastAsiaTheme="minorEastAsia"/>
          <w:sz w:val="24"/>
        </w:rPr>
        <w:t>”</w:t>
      </w:r>
      <w:r>
        <w:rPr>
          <w:rFonts w:hint="eastAsia" w:asciiTheme="minorEastAsia" w:hAnsiTheme="minorEastAsia" w:eastAsiaTheme="minorEastAsia"/>
          <w:sz w:val="24"/>
        </w:rPr>
        <w:t>和</w:t>
      </w:r>
      <w:r>
        <w:rPr>
          <w:rFonts w:asciiTheme="minorEastAsia" w:hAnsiTheme="minorEastAsia" w:eastAsiaTheme="minorEastAsia"/>
          <w:sz w:val="24"/>
        </w:rPr>
        <w:t>“</w:t>
      </w:r>
      <w:r>
        <w:rPr>
          <w:rFonts w:hint="eastAsia" w:asciiTheme="minorEastAsia" w:hAnsiTheme="minorEastAsia" w:eastAsiaTheme="minorEastAsia"/>
          <w:sz w:val="24"/>
        </w:rPr>
        <w:t>吊装点</w:t>
      </w:r>
      <w:r>
        <w:rPr>
          <w:rFonts w:asciiTheme="minorEastAsia" w:hAnsiTheme="minorEastAsia" w:eastAsiaTheme="minorEastAsia"/>
          <w:sz w:val="24"/>
        </w:rPr>
        <w:t>”</w:t>
      </w:r>
      <w:r>
        <w:rPr>
          <w:rFonts w:hint="eastAsia" w:asciiTheme="minorEastAsia" w:hAnsiTheme="minorEastAsia" w:eastAsiaTheme="minorEastAsia"/>
          <w:sz w:val="24"/>
        </w:rPr>
        <w:t>，以便装卸和搬运。根据货物（含软件及相关服务）的特点和运输的不同要求，乙方应在包装箱上清楚地标有</w:t>
      </w:r>
      <w:r>
        <w:rPr>
          <w:rFonts w:asciiTheme="minorEastAsia" w:hAnsiTheme="minorEastAsia" w:eastAsiaTheme="minorEastAsia"/>
          <w:sz w:val="24"/>
        </w:rPr>
        <w:t>‘</w:t>
      </w:r>
      <w:r>
        <w:rPr>
          <w:rFonts w:hint="eastAsia" w:asciiTheme="minorEastAsia" w:hAnsiTheme="minorEastAsia" w:eastAsiaTheme="minorEastAsia"/>
          <w:sz w:val="24"/>
        </w:rPr>
        <w:t>小心轻放</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w:t>
      </w:r>
      <w:r>
        <w:rPr>
          <w:rFonts w:hint="eastAsia" w:asciiTheme="minorEastAsia" w:hAnsiTheme="minorEastAsia" w:eastAsiaTheme="minorEastAsia"/>
          <w:sz w:val="24"/>
        </w:rPr>
        <w:t>勿倒置</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w:t>
      </w:r>
      <w:r>
        <w:rPr>
          <w:rFonts w:hint="eastAsia" w:asciiTheme="minorEastAsia" w:hAnsiTheme="minorEastAsia" w:eastAsiaTheme="minorEastAsia"/>
          <w:sz w:val="24"/>
        </w:rPr>
        <w:t>防潮</w:t>
      </w:r>
      <w:r>
        <w:rPr>
          <w:rFonts w:asciiTheme="minorEastAsia" w:hAnsiTheme="minorEastAsia" w:eastAsiaTheme="minorEastAsia"/>
          <w:sz w:val="24"/>
        </w:rPr>
        <w:t>”</w:t>
      </w:r>
      <w:r>
        <w:rPr>
          <w:rFonts w:hint="eastAsia" w:asciiTheme="minorEastAsia" w:hAnsiTheme="minorEastAsia" w:eastAsiaTheme="minorEastAsia"/>
          <w:sz w:val="24"/>
        </w:rPr>
        <w:t>等字样和其他适当的标记。</w:t>
      </w:r>
      <w:r>
        <w:rPr>
          <w:rFonts w:asciiTheme="minorEastAsia" w:hAnsiTheme="minorEastAsia" w:eastAsiaTheme="minorEastAsia"/>
          <w:sz w:val="24"/>
        </w:rPr>
        <w:t xml:space="preserve"> </w:t>
      </w:r>
    </w:p>
    <w:p>
      <w:pPr>
        <w:adjustRightInd w:val="0"/>
        <w:snapToGrid w:val="0"/>
        <w:spacing w:line="360" w:lineRule="auto"/>
        <w:ind w:firstLine="66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因缺少装运标志或者装运标志不明确导致货物在运输、装卸过程中产生的损失，乙方应承担相应的过错责任。</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6.付款方式</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6.1本合同以人民币付款。</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6.2乙方应按照与甲方签订的合同规定交货。交货后乙方向甲方提供下列单据，甲方按合同规定审核后付款:</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（1）发票；</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（2）制造厂家出具的质量检验证书等；</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（3）装箱单；</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（4）验收合格证；</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（5）使用方加盖公章证明货物交付使用合格的验收表。</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6.3甲方将按磋商文件中规定的付款方式安排付款。</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7.伴随服务</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7.1乙方应按照国家有关规定和合同中所附的服务承诺提供服务。</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7.2除第7.1条规定外，乙方还应提供下列服务:</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（1）货物的现场安装和启动监督；</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（2）提供货物组装和维修所需的工具；</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（3）在合同中乙方承诺的期限内对所提供货物实施运行监督、维修，但前提条件是该服务并不能免除乙方在质量保证期内应承担的义务；</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（4）在项目交货现场就货物的安装、启动、运行、维护对甲方人员进行培训。</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7.3伴随服务的费用应含在合同价中，不单独进行支付。</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8.质量保证</w:t>
      </w:r>
    </w:p>
    <w:p>
      <w:pPr>
        <w:adjustRightInd w:val="0"/>
        <w:snapToGrid w:val="0"/>
        <w:spacing w:line="360" w:lineRule="auto"/>
        <w:ind w:firstLine="658"/>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r>
        <w:rPr>
          <w:rFonts w:asciiTheme="minorEastAsia" w:hAnsiTheme="minorEastAsia" w:eastAsiaTheme="minorEastAsia"/>
          <w:sz w:val="24"/>
        </w:rPr>
        <w:t xml:space="preserve"> </w:t>
      </w:r>
    </w:p>
    <w:p>
      <w:pPr>
        <w:adjustRightInd w:val="0"/>
        <w:snapToGrid w:val="0"/>
        <w:spacing w:line="360" w:lineRule="auto"/>
        <w:ind w:firstLine="658"/>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 xml:space="preserve">.2 </w:t>
      </w:r>
      <w:r>
        <w:rPr>
          <w:rFonts w:hint="eastAsia" w:asciiTheme="minorEastAsia" w:hAnsiTheme="minorEastAsia" w:eastAsiaTheme="minorEastAsia"/>
          <w:sz w:val="24"/>
        </w:rPr>
        <w:t>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r>
        <w:rPr>
          <w:rFonts w:asciiTheme="minorEastAsia" w:hAnsiTheme="minorEastAsia" w:eastAsiaTheme="minorEastAsia"/>
          <w:sz w:val="24"/>
        </w:rPr>
        <w:t xml:space="preserve"> </w:t>
      </w:r>
    </w:p>
    <w:p>
      <w:pPr>
        <w:adjustRightInd w:val="0"/>
        <w:snapToGrid w:val="0"/>
        <w:spacing w:line="360" w:lineRule="auto"/>
        <w:ind w:firstLine="658"/>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 xml:space="preserve">.3 </w:t>
      </w:r>
      <w:r>
        <w:rPr>
          <w:rFonts w:hint="eastAsia" w:asciiTheme="minorEastAsia" w:hAnsiTheme="minorEastAsia" w:eastAsiaTheme="minorEastAsia"/>
          <w:sz w:val="24"/>
        </w:rPr>
        <w:t>乙方在收到通知后十五天内应免费维修或更换有缺陷的货物（含软件及相关服务）或部件。</w:t>
      </w:r>
      <w:r>
        <w:rPr>
          <w:rFonts w:asciiTheme="minorEastAsia" w:hAnsiTheme="minorEastAsia" w:eastAsiaTheme="minorEastAsia"/>
          <w:sz w:val="24"/>
        </w:rPr>
        <w:t xml:space="preserve"> </w:t>
      </w:r>
    </w:p>
    <w:p>
      <w:pPr>
        <w:adjustRightInd w:val="0"/>
        <w:snapToGrid w:val="0"/>
        <w:spacing w:line="360" w:lineRule="auto"/>
        <w:ind w:firstLine="658"/>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 xml:space="preserve">.4 </w:t>
      </w:r>
      <w:r>
        <w:rPr>
          <w:rFonts w:hint="eastAsia" w:asciiTheme="minorEastAsia" w:hAnsiTheme="minorEastAsia" w:eastAsiaTheme="minorEastAsia"/>
          <w:sz w:val="24"/>
        </w:rPr>
        <w:t>如果乙方在收到通知后十五天内没有弥补缺陷，甲方可采取必要的补救措施，但风险和费用将由乙方承担。</w:t>
      </w:r>
    </w:p>
    <w:p>
      <w:pPr>
        <w:adjustRightInd w:val="0"/>
        <w:snapToGrid w:val="0"/>
        <w:spacing w:line="360" w:lineRule="auto"/>
        <w:ind w:firstLine="658"/>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 xml:space="preserve">.5 </w:t>
      </w:r>
      <w:r>
        <w:rPr>
          <w:rFonts w:hint="eastAsia" w:asciiTheme="minorEastAsia" w:hAnsiTheme="minorEastAsia" w:eastAsiaTheme="minorEastAsia"/>
          <w:sz w:val="24"/>
        </w:rPr>
        <w:t>除合同专用条款规定外，合同项下货物（含软件及相关服务）的质量保证期为自货物（含软件及相关服务）通过最终验收起12个月。</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9.检验及安装</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9</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r>
        <w:rPr>
          <w:rFonts w:asciiTheme="minorEastAsia" w:hAnsiTheme="minorEastAsia" w:eastAsiaTheme="minorEastAsia"/>
          <w:sz w:val="24"/>
        </w:rPr>
        <w:t xml:space="preserve"> </w:t>
      </w:r>
    </w:p>
    <w:p>
      <w:pPr>
        <w:adjustRightInd w:val="0"/>
        <w:snapToGrid w:val="0"/>
        <w:spacing w:line="360" w:lineRule="auto"/>
        <w:ind w:firstLine="660"/>
        <w:rPr>
          <w:rFonts w:asciiTheme="minorEastAsia" w:hAnsiTheme="minorEastAsia" w:eastAsiaTheme="minorEastAsia"/>
          <w:b/>
          <w:sz w:val="24"/>
        </w:rPr>
      </w:pPr>
      <w:r>
        <w:rPr>
          <w:rFonts w:hint="eastAsia" w:asciiTheme="minorEastAsia" w:hAnsiTheme="minorEastAsia" w:eastAsiaTheme="minorEastAsia"/>
          <w:sz w:val="24"/>
        </w:rPr>
        <w:t>9</w:t>
      </w:r>
      <w:r>
        <w:rPr>
          <w:rFonts w:asciiTheme="minorEastAsia" w:hAnsiTheme="minorEastAsia" w:eastAsiaTheme="minorEastAsia"/>
          <w:sz w:val="24"/>
        </w:rPr>
        <w:t xml:space="preserve">.2 </w:t>
      </w:r>
      <w:r>
        <w:rPr>
          <w:rFonts w:hint="eastAsia" w:asciiTheme="minorEastAsia" w:hAnsiTheme="minorEastAsia" w:eastAsiaTheme="minorEastAsia"/>
          <w:sz w:val="24"/>
        </w:rPr>
        <w:t>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w:t>
      </w:r>
      <w:r>
        <w:rPr>
          <w:rFonts w:asciiTheme="minorEastAsia" w:hAnsiTheme="minorEastAsia" w:eastAsiaTheme="minorEastAsia"/>
          <w:sz w:val="24"/>
        </w:rPr>
        <w:t>90</w:t>
      </w:r>
      <w:r>
        <w:rPr>
          <w:rFonts w:hint="eastAsia" w:asciiTheme="minorEastAsia" w:hAnsiTheme="minorEastAsia" w:eastAsiaTheme="minorEastAsia"/>
          <w:sz w:val="24"/>
        </w:rPr>
        <w:t>天内，根据甲方按检验标准自己检验的结果或当地商检部门出具的检验证书向乙方提出索赔，除责任由保险公司或运输部门承担的之外。</w:t>
      </w:r>
      <w:r>
        <w:rPr>
          <w:rFonts w:asciiTheme="minorEastAsia" w:hAnsiTheme="minorEastAsia" w:eastAsiaTheme="minorEastAsia"/>
          <w:sz w:val="24"/>
        </w:rPr>
        <w:t xml:space="preserve"> </w:t>
      </w:r>
    </w:p>
    <w:p>
      <w:pPr>
        <w:adjustRightInd w:val="0"/>
        <w:snapToGrid w:val="0"/>
        <w:spacing w:line="360" w:lineRule="auto"/>
        <w:ind w:firstLine="660"/>
        <w:rPr>
          <w:rFonts w:asciiTheme="minorEastAsia" w:hAnsiTheme="minorEastAsia" w:eastAsiaTheme="minorEastAsia"/>
          <w:b/>
          <w:sz w:val="24"/>
        </w:rPr>
      </w:pPr>
      <w:r>
        <w:rPr>
          <w:rFonts w:hint="eastAsia" w:asciiTheme="minorEastAsia" w:hAnsiTheme="minorEastAsia" w:eastAsiaTheme="minorEastAsia"/>
          <w:sz w:val="24"/>
        </w:rPr>
        <w:t>9</w:t>
      </w:r>
      <w:r>
        <w:rPr>
          <w:rFonts w:asciiTheme="minorEastAsia" w:hAnsiTheme="minorEastAsia" w:eastAsiaTheme="minorEastAsia"/>
          <w:sz w:val="24"/>
        </w:rPr>
        <w:t xml:space="preserve">.3 </w:t>
      </w:r>
      <w:r>
        <w:rPr>
          <w:rFonts w:hint="eastAsia" w:asciiTheme="minorEastAsia" w:hAnsiTheme="minorEastAsia" w:eastAsiaTheme="minorEastAsia"/>
          <w:sz w:val="24"/>
        </w:rPr>
        <w:t>如果货物（含软件及相关服务）的质量和规格与合同不符，或在第8条规定的质量保证期内证实货物（含软件及相关服务）是有缺陷的，包括潜在的缺陷或使用不符合要求的材料，甲方将有权向乙方提出索赔。</w:t>
      </w:r>
      <w:r>
        <w:rPr>
          <w:rFonts w:asciiTheme="minorEastAsia" w:hAnsiTheme="minorEastAsia" w:eastAsiaTheme="minorEastAsia"/>
          <w:sz w:val="24"/>
        </w:rPr>
        <w:t xml:space="preserve"> </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9</w:t>
      </w:r>
      <w:r>
        <w:rPr>
          <w:rFonts w:asciiTheme="minorEastAsia" w:hAnsiTheme="minorEastAsia" w:eastAsiaTheme="minorEastAsia"/>
          <w:sz w:val="24"/>
        </w:rPr>
        <w:t xml:space="preserve">.4 </w:t>
      </w:r>
      <w:r>
        <w:rPr>
          <w:rFonts w:hint="eastAsia" w:asciiTheme="minorEastAsia" w:hAnsiTheme="minorEastAsia" w:eastAsiaTheme="minorEastAsia"/>
          <w:sz w:val="24"/>
        </w:rPr>
        <w:t>甲方有权提出在货物（含软件及相关服务）制造过程中派人到制造厂进行监造，乙方有义务为甲方监造人员提供方便。</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9</w:t>
      </w:r>
      <w:r>
        <w:rPr>
          <w:rFonts w:asciiTheme="minorEastAsia" w:hAnsiTheme="minorEastAsia" w:eastAsiaTheme="minorEastAsia"/>
          <w:sz w:val="24"/>
        </w:rPr>
        <w:t xml:space="preserve">.5 </w:t>
      </w:r>
      <w:r>
        <w:rPr>
          <w:rFonts w:hint="eastAsia" w:asciiTheme="minorEastAsia" w:hAnsiTheme="minorEastAsia" w:eastAsiaTheme="minorEastAsia"/>
          <w:sz w:val="24"/>
        </w:rPr>
        <w:t>制造厂对所供货物（含软件及相关服务）进行机械运转试验和性能试验时，必须提前通知甲方。</w:t>
      </w:r>
      <w:r>
        <w:rPr>
          <w:rFonts w:asciiTheme="minorEastAsia" w:hAnsiTheme="minorEastAsia" w:eastAsiaTheme="minorEastAsia"/>
          <w:sz w:val="24"/>
        </w:rPr>
        <w:t xml:space="preserve"> </w:t>
      </w:r>
    </w:p>
    <w:p>
      <w:pPr>
        <w:adjustRightInd w:val="0"/>
        <w:snapToGrid w:val="0"/>
        <w:spacing w:line="360" w:lineRule="auto"/>
        <w:ind w:firstLine="660"/>
        <w:rPr>
          <w:rFonts w:asciiTheme="minorEastAsia" w:hAnsiTheme="minorEastAsia" w:eastAsiaTheme="minorEastAsia"/>
          <w:sz w:val="24"/>
        </w:rPr>
      </w:pPr>
      <w:r>
        <w:rPr>
          <w:rFonts w:hint="eastAsia" w:asciiTheme="minorEastAsia" w:hAnsiTheme="minorEastAsia" w:eastAsiaTheme="minorEastAsia"/>
          <w:sz w:val="24"/>
        </w:rPr>
        <w:t>9</w:t>
      </w:r>
      <w:r>
        <w:rPr>
          <w:rFonts w:asciiTheme="minorEastAsia" w:hAnsiTheme="minorEastAsia" w:eastAsiaTheme="minorEastAsia"/>
          <w:sz w:val="24"/>
        </w:rPr>
        <w:t xml:space="preserve">.6 </w:t>
      </w:r>
      <w:r>
        <w:rPr>
          <w:rFonts w:hint="eastAsia" w:asciiTheme="minorEastAsia" w:hAnsiTheme="minorEastAsia" w:eastAsiaTheme="minorEastAsia"/>
          <w:sz w:val="24"/>
        </w:rPr>
        <w:t>货物（含软件及相关服务）的安装按磋商文件要求进行。</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10.索赔</w:t>
      </w:r>
    </w:p>
    <w:p>
      <w:pPr>
        <w:adjustRightInd w:val="0"/>
        <w:snapToGrid w:val="0"/>
        <w:spacing w:line="360" w:lineRule="auto"/>
        <w:ind w:firstLine="658"/>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0</w:t>
      </w:r>
      <w:r>
        <w:rPr>
          <w:rFonts w:asciiTheme="minorEastAsia" w:hAnsiTheme="minorEastAsia" w:eastAsiaTheme="minorEastAsia"/>
          <w:sz w:val="24"/>
        </w:rPr>
        <w:t xml:space="preserve">.1 </w:t>
      </w:r>
      <w:r>
        <w:rPr>
          <w:rFonts w:hint="eastAsia" w:asciiTheme="minorEastAsia" w:hAnsiTheme="minorEastAsia" w:eastAsiaTheme="minorEastAsia"/>
          <w:sz w:val="24"/>
        </w:rPr>
        <w:t>除责任应由保险公司或运输部门承担的之外，甲方有权根据甲方按检验标准自己检验的结果或当地商检部门出具的商检证书向乙方提出索赔。</w:t>
      </w:r>
      <w:r>
        <w:rPr>
          <w:rFonts w:asciiTheme="minorEastAsia" w:hAnsiTheme="minorEastAsia" w:eastAsiaTheme="minorEastAsia"/>
          <w:sz w:val="24"/>
        </w:rPr>
        <w:t xml:space="preserve"> </w:t>
      </w:r>
    </w:p>
    <w:p>
      <w:pPr>
        <w:adjustRightInd w:val="0"/>
        <w:snapToGrid w:val="0"/>
        <w:spacing w:line="360" w:lineRule="auto"/>
        <w:ind w:firstLine="658"/>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0</w:t>
      </w:r>
      <w:r>
        <w:rPr>
          <w:rFonts w:asciiTheme="minorEastAsia" w:hAnsiTheme="minorEastAsia" w:eastAsiaTheme="minorEastAsia"/>
          <w:sz w:val="24"/>
        </w:rPr>
        <w:t xml:space="preserve">.2 </w:t>
      </w:r>
      <w:r>
        <w:rPr>
          <w:rFonts w:hint="eastAsia" w:asciiTheme="minorEastAsia" w:hAnsiTheme="minorEastAsia" w:eastAsiaTheme="minorEastAsia"/>
          <w:sz w:val="24"/>
        </w:rPr>
        <w:t>在第</w:t>
      </w:r>
      <w:r>
        <w:rPr>
          <w:rFonts w:asciiTheme="minorEastAsia" w:hAnsiTheme="minorEastAsia" w:eastAsiaTheme="minorEastAsia"/>
          <w:sz w:val="24"/>
        </w:rPr>
        <w:t xml:space="preserve"> </w:t>
      </w:r>
      <w:r>
        <w:rPr>
          <w:rFonts w:hint="eastAsia" w:asciiTheme="minorEastAsia" w:hAnsiTheme="minorEastAsia" w:eastAsiaTheme="minorEastAsia"/>
          <w:sz w:val="24"/>
        </w:rPr>
        <w:t>8条和第9条规定的检验期和质量保证期内，如果乙方对甲方提出的索赔和差异负有责任，乙方应按照甲方同意的下列一种或多种方式解决索赔事宜:</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）根据货物（含软件及相关服务）的低劣程度、损坏程度以及甲方遭受损失的数额，经买卖双方商定降低货物（含软件及相关服务）的价格。</w:t>
      </w:r>
    </w:p>
    <w:p>
      <w:pPr>
        <w:adjustRightInd w:val="0"/>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用符合规格、质量和性能要求的新零件、部件或货物（含软件及相关服务）来更换有缺陷的部分或修补缺陷部分，乙方应承担一切费用和风险并负担甲方所发生的一切直接费用。同时，乙方应按合同第8条规定，相应延长修补或被更换部件或货物（含软件及相关服务）的质量保证期。</w:t>
      </w:r>
      <w:r>
        <w:rPr>
          <w:rFonts w:asciiTheme="minorEastAsia" w:hAnsiTheme="minorEastAsia" w:eastAsiaTheme="minorEastAsia"/>
          <w:sz w:val="24"/>
        </w:rPr>
        <w:t xml:space="preserve"> </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0</w:t>
      </w:r>
      <w:r>
        <w:rPr>
          <w:rFonts w:asciiTheme="minorEastAsia" w:hAnsiTheme="minorEastAsia" w:eastAsiaTheme="minorEastAsia"/>
          <w:sz w:val="24"/>
        </w:rPr>
        <w:t xml:space="preserve">.3 </w:t>
      </w:r>
      <w:r>
        <w:rPr>
          <w:rFonts w:hint="eastAsia" w:asciiTheme="minorEastAsia" w:hAnsiTheme="minorEastAsia" w:eastAsiaTheme="minorEastAsia"/>
          <w:sz w:val="24"/>
        </w:rPr>
        <w:t>如果在甲方发出索赔通知后</w:t>
      </w:r>
      <w:r>
        <w:rPr>
          <w:rFonts w:asciiTheme="minorEastAsia" w:hAnsiTheme="minorEastAsia" w:eastAsiaTheme="minorEastAsia"/>
          <w:sz w:val="24"/>
        </w:rPr>
        <w:t>3</w:t>
      </w:r>
      <w:r>
        <w:rPr>
          <w:rFonts w:hint="eastAsia" w:asciiTheme="minorEastAsia" w:hAnsiTheme="minorEastAsia" w:eastAsiaTheme="minorEastAsia"/>
          <w:sz w:val="24"/>
        </w:rPr>
        <w:t>0天内，乙方未能答复，上达索赔应视为已被乙方接受。若乙方未能在甲方提出索赔通知后</w:t>
      </w:r>
      <w:r>
        <w:rPr>
          <w:rFonts w:asciiTheme="minorEastAsia" w:hAnsiTheme="minorEastAsia" w:eastAsiaTheme="minorEastAsia"/>
          <w:sz w:val="24"/>
        </w:rPr>
        <w:t>30</w:t>
      </w:r>
      <w:r>
        <w:rPr>
          <w:rFonts w:hint="eastAsia" w:asciiTheme="minorEastAsia" w:hAnsiTheme="minorEastAsia" w:eastAsiaTheme="minorEastAsia"/>
          <w:sz w:val="24"/>
        </w:rPr>
        <w:t>天内或甲方同意的更长时间内，按照第</w:t>
      </w:r>
      <w:r>
        <w:rPr>
          <w:rFonts w:asciiTheme="minorEastAsia" w:hAnsiTheme="minorEastAsia" w:eastAsiaTheme="minorEastAsia"/>
          <w:sz w:val="24"/>
        </w:rPr>
        <w:t>1</w:t>
      </w:r>
      <w:r>
        <w:rPr>
          <w:rFonts w:hint="eastAsia" w:asciiTheme="minorEastAsia" w:hAnsiTheme="minorEastAsia" w:eastAsiaTheme="minorEastAsia"/>
          <w:sz w:val="24"/>
        </w:rPr>
        <w:t>0.</w:t>
      </w:r>
      <w:r>
        <w:rPr>
          <w:rFonts w:asciiTheme="minorEastAsia" w:hAnsiTheme="minorEastAsia" w:eastAsiaTheme="minorEastAsia"/>
          <w:sz w:val="24"/>
        </w:rPr>
        <w:t>2</w:t>
      </w:r>
      <w:r>
        <w:rPr>
          <w:rFonts w:hint="eastAsia" w:asciiTheme="minorEastAsia" w:hAnsiTheme="minorEastAsia" w:eastAsiaTheme="minorEastAsia"/>
          <w:sz w:val="24"/>
        </w:rPr>
        <w:t>条规定的任何一种方法解决索赔事宜，甲方将从已付款或从乙方开具的履约保证金中扣回索赔金颔。如果这些金额不足以补偿索赔金额，甲方有权向乙方提出不足部分的补偿。</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11.拖延交货</w:t>
      </w:r>
    </w:p>
    <w:p>
      <w:pPr>
        <w:adjustRightInd w:val="0"/>
        <w:snapToGrid w:val="0"/>
        <w:spacing w:line="360" w:lineRule="auto"/>
        <w:ind w:firstLine="567"/>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乙方应按照合同专用条款中规定的交货期交货和提供服务。</w:t>
      </w:r>
      <w:r>
        <w:rPr>
          <w:rFonts w:asciiTheme="minorEastAsia" w:hAnsiTheme="minorEastAsia" w:eastAsiaTheme="minorEastAsia"/>
          <w:sz w:val="24"/>
        </w:rPr>
        <w:t xml:space="preserve"> </w:t>
      </w:r>
    </w:p>
    <w:p>
      <w:pPr>
        <w:adjustRightInd w:val="0"/>
        <w:snapToGrid w:val="0"/>
        <w:spacing w:line="360" w:lineRule="auto"/>
        <w:ind w:firstLine="567"/>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 xml:space="preserve">.2 </w:t>
      </w:r>
      <w:r>
        <w:rPr>
          <w:rFonts w:hint="eastAsia" w:asciiTheme="minorEastAsia" w:hAnsiTheme="minorEastAsia" w:eastAsiaTheme="minorEastAsia"/>
          <w:sz w:val="24"/>
        </w:rPr>
        <w:t>如果乙方毫无理由地拖延交货，将受到以下制裁:履约保证金不予退还，加收违约损失赔偿和／或终止合同。</w:t>
      </w:r>
      <w:r>
        <w:rPr>
          <w:rFonts w:asciiTheme="minorEastAsia" w:hAnsiTheme="minorEastAsia" w:eastAsiaTheme="minorEastAsia"/>
          <w:sz w:val="24"/>
        </w:rPr>
        <w:t xml:space="preserve"> </w:t>
      </w:r>
    </w:p>
    <w:p>
      <w:pPr>
        <w:adjustRightInd w:val="0"/>
        <w:snapToGrid w:val="0"/>
        <w:spacing w:line="360" w:lineRule="auto"/>
        <w:ind w:firstLine="567"/>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 xml:space="preserve">.3 </w:t>
      </w:r>
      <w:r>
        <w:rPr>
          <w:rFonts w:hint="eastAsia" w:asciiTheme="minorEastAsia" w:hAnsiTheme="minorEastAsia" w:eastAsiaTheme="minorEastAsia"/>
          <w:sz w:val="24"/>
        </w:rPr>
        <w:t>在履行合同过程中，如果乙方遇到不能按时交货和提供服务的情况，应及时以书面形式将不能按时交货的理由、延误时间通知甲方。甲方在收到乙方通知后，应进行分析，可通过修改合同，酌情延长交货时间。</w:t>
      </w:r>
      <w:r>
        <w:rPr>
          <w:rFonts w:asciiTheme="minorEastAsia" w:hAnsiTheme="minorEastAsia" w:eastAsiaTheme="minorEastAsia"/>
          <w:sz w:val="24"/>
        </w:rPr>
        <w:t xml:space="preserve"> </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12.误期赔偿</w:t>
      </w:r>
    </w:p>
    <w:p>
      <w:pPr>
        <w:adjustRightInd w:val="0"/>
        <w:snapToGrid w:val="0"/>
        <w:spacing w:line="360" w:lineRule="auto"/>
        <w:ind w:firstLine="567"/>
        <w:rPr>
          <w:rFonts w:asciiTheme="minorEastAsia" w:hAnsiTheme="minorEastAsia" w:eastAsiaTheme="minorEastAsia"/>
          <w:sz w:val="24"/>
        </w:rPr>
      </w:pPr>
      <w:r>
        <w:rPr>
          <w:rFonts w:hint="eastAsia" w:asciiTheme="minorEastAsia" w:hAnsiTheme="minorEastAsia" w:eastAsiaTheme="minorEastAsia"/>
          <w:sz w:val="24"/>
        </w:rPr>
        <w:t>12.1除合同条款第13条规定外，如果乙方没有按照合同规定的时间交货和提供服务，甲方将从货款中扣除误期赔偿费而不影响合同项目的其他补救方法，赔偿费按每天迟交货物交货价或未提供服务费用的0.5%计收，直至交货或提供服务为止。但误期赔偿费的最高限为误期货物或服务合同价的5%。一旦达到误期赔偿的最高限额，甲方可考虑终止合同。</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13.不可抗力</w:t>
      </w:r>
    </w:p>
    <w:p>
      <w:pPr>
        <w:adjustRightInd w:val="0"/>
        <w:snapToGrid w:val="0"/>
        <w:spacing w:line="360" w:lineRule="auto"/>
        <w:ind w:firstLine="567"/>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如果双方中任何一方由于战争、严重火灾、水灾、台风和地震以及其它经双方同意属于不可抗力的事故，致使合同履行受阻时，履行合同的期限应予以延长，延长的期限应相当于事故所影响的时间。</w:t>
      </w:r>
      <w:r>
        <w:rPr>
          <w:rFonts w:asciiTheme="minorEastAsia" w:hAnsiTheme="minorEastAsia" w:eastAsiaTheme="minorEastAsia"/>
          <w:sz w:val="24"/>
        </w:rPr>
        <w:t xml:space="preserve"> </w:t>
      </w:r>
    </w:p>
    <w:p>
      <w:pPr>
        <w:adjustRightInd w:val="0"/>
        <w:snapToGrid w:val="0"/>
        <w:spacing w:line="360" w:lineRule="auto"/>
        <w:ind w:firstLine="567"/>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 xml:space="preserve">.2 </w:t>
      </w:r>
      <w:r>
        <w:rPr>
          <w:rFonts w:hint="eastAsia" w:asciiTheme="minorEastAsia" w:hAnsiTheme="minorEastAsia" w:eastAsiaTheme="minorEastAsia"/>
          <w:sz w:val="24"/>
        </w:rPr>
        <w:t>受事故影响的一方应在不可抗力事故发生后尽快以电报、传真或电传通知另一方，并在事故发生后</w:t>
      </w:r>
      <w:r>
        <w:rPr>
          <w:rFonts w:asciiTheme="minorEastAsia" w:hAnsiTheme="minorEastAsia" w:eastAsiaTheme="minorEastAsia"/>
          <w:sz w:val="24"/>
        </w:rPr>
        <w:t>14</w:t>
      </w:r>
      <w:r>
        <w:rPr>
          <w:rFonts w:hint="eastAsia" w:asciiTheme="minorEastAsia" w:hAnsiTheme="minorEastAsia" w:eastAsiaTheme="minorEastAsia"/>
          <w:sz w:val="24"/>
        </w:rPr>
        <w:t>天内，将有关部门出具的证明文件用特快专递寄给或送给另一方。如果不可抗力影响时间延续</w:t>
      </w:r>
      <w:r>
        <w:rPr>
          <w:rFonts w:asciiTheme="minorEastAsia" w:hAnsiTheme="minorEastAsia" w:eastAsiaTheme="minorEastAsia"/>
          <w:sz w:val="24"/>
        </w:rPr>
        <w:t>120</w:t>
      </w:r>
      <w:r>
        <w:rPr>
          <w:rFonts w:hint="eastAsia" w:asciiTheme="minorEastAsia" w:hAnsiTheme="minorEastAsia" w:eastAsiaTheme="minorEastAsia"/>
          <w:sz w:val="24"/>
        </w:rPr>
        <w:t>天以上，双方应通过友好协商在合理的时间内达成进一步履行合同的协议。</w:t>
      </w:r>
      <w:r>
        <w:rPr>
          <w:rFonts w:asciiTheme="minorEastAsia" w:hAnsiTheme="minorEastAsia" w:eastAsiaTheme="minorEastAsia"/>
          <w:sz w:val="24"/>
        </w:rPr>
        <w:t xml:space="preserve"> </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14.税费</w:t>
      </w:r>
    </w:p>
    <w:p>
      <w:pPr>
        <w:adjustRightInd w:val="0"/>
        <w:snapToGrid w:val="0"/>
        <w:spacing w:line="360" w:lineRule="auto"/>
        <w:ind w:firstLine="567"/>
        <w:rPr>
          <w:rFonts w:asciiTheme="minorEastAsia" w:hAnsiTheme="minorEastAsia" w:eastAsiaTheme="minorEastAsia"/>
          <w:sz w:val="24"/>
        </w:rPr>
      </w:pPr>
      <w:r>
        <w:rPr>
          <w:rFonts w:hint="eastAsia" w:asciiTheme="minorEastAsia" w:hAnsiTheme="minorEastAsia" w:eastAsiaTheme="minorEastAsia"/>
          <w:sz w:val="24"/>
        </w:rPr>
        <w:t>14.1中国政府根据现行税法规定对甲方征收的与本合同有关的一切税费，均由甲方负担。</w:t>
      </w:r>
    </w:p>
    <w:p>
      <w:pPr>
        <w:adjustRightInd w:val="0"/>
        <w:snapToGrid w:val="0"/>
        <w:spacing w:line="360" w:lineRule="auto"/>
        <w:ind w:firstLine="567"/>
        <w:rPr>
          <w:rFonts w:asciiTheme="minorEastAsia" w:hAnsiTheme="minorEastAsia" w:eastAsiaTheme="minorEastAsia"/>
          <w:sz w:val="24"/>
        </w:rPr>
      </w:pPr>
      <w:r>
        <w:rPr>
          <w:rFonts w:hint="eastAsia" w:asciiTheme="minorEastAsia" w:hAnsiTheme="minorEastAsia" w:eastAsiaTheme="minorEastAsia"/>
          <w:sz w:val="24"/>
        </w:rPr>
        <w:t>14.2中国政府根据现行税法规定对乙方征收的与本合同有关的一切税费均由乙方负担。</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15.履约保证金</w:t>
      </w:r>
    </w:p>
    <w:p>
      <w:pPr>
        <w:adjustRightInd w:val="0"/>
        <w:snapToGrid w:val="0"/>
        <w:spacing w:line="360" w:lineRule="auto"/>
        <w:ind w:firstLine="567"/>
        <w:rPr>
          <w:rFonts w:ascii="宋体" w:hAnsi="宋体" w:cs="宋体"/>
          <w:sz w:val="24"/>
          <w:lang w:val="zh-CN"/>
        </w:rPr>
      </w:pPr>
      <w:r>
        <w:rPr>
          <w:rFonts w:hint="eastAsia" w:asciiTheme="minorEastAsia" w:hAnsiTheme="minorEastAsia" w:eastAsiaTheme="minorEastAsia"/>
          <w:sz w:val="24"/>
        </w:rPr>
        <w:t>15.1乙方应在合同签订之前，向采购人提供相当于成交总价</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%的履约保证金。履约保证金交纳信息详见合同格式。</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15.2乙方提供的履约保证金必须是人民币，形式为银行本票、汇票、支票、电汇。</w:t>
      </w:r>
      <w:r>
        <w:rPr>
          <w:rFonts w:hint="eastAsia" w:asciiTheme="minorEastAsia" w:hAnsiTheme="minorEastAsia" w:eastAsiaTheme="minorEastAsia"/>
          <w:sz w:val="24"/>
        </w:rPr>
        <w:cr/>
      </w:r>
      <w:r>
        <w:rPr>
          <w:rFonts w:hint="eastAsia" w:asciiTheme="minorEastAsia" w:hAnsiTheme="minorEastAsia" w:eastAsiaTheme="minorEastAsia"/>
          <w:sz w:val="24"/>
        </w:rPr>
        <w:t xml:space="preserve">    15.3如乙方未能履行合同规定的义务，甲方有权从履约保证金中取得补偿。</w:t>
      </w:r>
      <w:r>
        <w:rPr>
          <w:rFonts w:hint="eastAsia" w:asciiTheme="minorEastAsia" w:hAnsiTheme="minorEastAsia" w:eastAsiaTheme="minorEastAsia"/>
          <w:sz w:val="24"/>
        </w:rPr>
        <w:cr/>
      </w:r>
      <w:r>
        <w:rPr>
          <w:rFonts w:hint="eastAsia" w:asciiTheme="minorEastAsia" w:hAnsiTheme="minorEastAsia" w:eastAsiaTheme="minorEastAsia"/>
          <w:sz w:val="24"/>
        </w:rPr>
        <w:t xml:space="preserve">    15.4履约保证金在项目验收合格后无息退还给乙方。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16.仲裁</w:t>
      </w:r>
    </w:p>
    <w:p>
      <w:pPr>
        <w:adjustRightInd w:val="0"/>
        <w:snapToGrid w:val="0"/>
        <w:spacing w:line="360" w:lineRule="auto"/>
        <w:ind w:firstLine="57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买卖双方应通过友好协商，解决在执行本合同中所发生的或与本合同有关的一切争端，如果协商仍得不到解决，任何一方均可按</w:t>
      </w:r>
      <w:r>
        <w:rPr>
          <w:rFonts w:asciiTheme="minorEastAsia" w:hAnsiTheme="minorEastAsia" w:eastAsiaTheme="minorEastAsia"/>
          <w:sz w:val="24"/>
        </w:rPr>
        <w:t>“</w:t>
      </w:r>
      <w:r>
        <w:rPr>
          <w:rFonts w:hint="eastAsia" w:asciiTheme="minorEastAsia" w:hAnsiTheme="minorEastAsia" w:eastAsiaTheme="minorEastAsia"/>
          <w:sz w:val="24"/>
        </w:rPr>
        <w:t>中华人民共和国合同法</w:t>
      </w:r>
      <w:r>
        <w:rPr>
          <w:rFonts w:asciiTheme="minorEastAsia" w:hAnsiTheme="minorEastAsia" w:eastAsiaTheme="minorEastAsia"/>
          <w:sz w:val="24"/>
        </w:rPr>
        <w:t>”</w:t>
      </w:r>
      <w:r>
        <w:rPr>
          <w:rFonts w:hint="eastAsia" w:asciiTheme="minorEastAsia" w:hAnsiTheme="minorEastAsia" w:eastAsiaTheme="minorEastAsia"/>
          <w:sz w:val="24"/>
        </w:rPr>
        <w:t>规定提交调解和仲裁。</w:t>
      </w:r>
      <w:r>
        <w:rPr>
          <w:rFonts w:asciiTheme="minorEastAsia" w:hAnsiTheme="minorEastAsia" w:eastAsiaTheme="minorEastAsia"/>
          <w:sz w:val="24"/>
        </w:rPr>
        <w:t xml:space="preserve"> </w:t>
      </w:r>
    </w:p>
    <w:p>
      <w:pPr>
        <w:adjustRightInd w:val="0"/>
        <w:snapToGrid w:val="0"/>
        <w:spacing w:line="360" w:lineRule="auto"/>
        <w:ind w:firstLine="57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6</w:t>
      </w:r>
      <w:r>
        <w:rPr>
          <w:rFonts w:asciiTheme="minorEastAsia" w:hAnsiTheme="minorEastAsia" w:eastAsiaTheme="minorEastAsia"/>
          <w:sz w:val="24"/>
        </w:rPr>
        <w:t xml:space="preserve">.2 </w:t>
      </w:r>
      <w:r>
        <w:rPr>
          <w:rFonts w:hint="eastAsia" w:asciiTheme="minorEastAsia" w:hAnsiTheme="minorEastAsia" w:eastAsiaTheme="minorEastAsia"/>
          <w:sz w:val="24"/>
        </w:rPr>
        <w:t>仲裁裁决应为终局裁决，对双方均具有约束力。</w:t>
      </w:r>
      <w:r>
        <w:rPr>
          <w:rFonts w:asciiTheme="minorEastAsia" w:hAnsiTheme="minorEastAsia" w:eastAsiaTheme="minorEastAsia"/>
          <w:sz w:val="24"/>
        </w:rPr>
        <w:t xml:space="preserve"> </w:t>
      </w:r>
    </w:p>
    <w:p>
      <w:pPr>
        <w:adjustRightInd w:val="0"/>
        <w:snapToGrid w:val="0"/>
        <w:spacing w:line="360" w:lineRule="auto"/>
        <w:ind w:firstLine="57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6</w:t>
      </w:r>
      <w:r>
        <w:rPr>
          <w:rFonts w:asciiTheme="minorEastAsia" w:hAnsiTheme="minorEastAsia" w:eastAsiaTheme="minorEastAsia"/>
          <w:sz w:val="24"/>
        </w:rPr>
        <w:t xml:space="preserve">.3 </w:t>
      </w:r>
      <w:r>
        <w:rPr>
          <w:rFonts w:hint="eastAsia" w:asciiTheme="minorEastAsia" w:hAnsiTheme="minorEastAsia" w:eastAsiaTheme="minorEastAsia"/>
          <w:sz w:val="24"/>
        </w:rPr>
        <w:t>仲裁费除仲裁机构另有裁决外应由败诉方负担。</w:t>
      </w:r>
    </w:p>
    <w:p>
      <w:pPr>
        <w:adjustRightInd w:val="0"/>
        <w:snapToGrid w:val="0"/>
        <w:spacing w:line="360" w:lineRule="auto"/>
        <w:ind w:firstLine="57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6</w:t>
      </w:r>
      <w:r>
        <w:rPr>
          <w:rFonts w:asciiTheme="minorEastAsia" w:hAnsiTheme="minorEastAsia" w:eastAsiaTheme="minorEastAsia"/>
          <w:sz w:val="24"/>
        </w:rPr>
        <w:t xml:space="preserve">.4 </w:t>
      </w:r>
      <w:r>
        <w:rPr>
          <w:rFonts w:hint="eastAsia" w:asciiTheme="minorEastAsia" w:hAnsiTheme="minorEastAsia" w:eastAsiaTheme="minorEastAsia"/>
          <w:sz w:val="24"/>
        </w:rPr>
        <w:t>在仲裁期间，除正在进行仲裁的部分外，合同其它部分继续执行。</w:t>
      </w:r>
      <w:r>
        <w:rPr>
          <w:rFonts w:hint="eastAsia" w:asciiTheme="minorEastAsia" w:hAnsiTheme="minorEastAsia" w:eastAsiaTheme="minorEastAsia"/>
          <w:b/>
          <w:sz w:val="24"/>
        </w:rPr>
        <w:t xml:space="preserve"> </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17.违约终止合同</w:t>
      </w:r>
    </w:p>
    <w:p>
      <w:pPr>
        <w:adjustRightInd w:val="0"/>
        <w:snapToGrid w:val="0"/>
        <w:spacing w:line="360" w:lineRule="auto"/>
        <w:ind w:firstLine="570"/>
        <w:rPr>
          <w:rFonts w:asciiTheme="minorEastAsia" w:hAnsiTheme="minorEastAsia" w:eastAsiaTheme="minorEastAsia"/>
          <w:sz w:val="24"/>
        </w:rPr>
      </w:pPr>
      <w:r>
        <w:rPr>
          <w:rFonts w:hint="eastAsia" w:asciiTheme="minorEastAsia" w:hAnsiTheme="minorEastAsia" w:eastAsiaTheme="minorEastAsia"/>
          <w:sz w:val="24"/>
        </w:rPr>
        <w:t>17</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r>
        <w:rPr>
          <w:rFonts w:asciiTheme="minorEastAsia" w:hAnsiTheme="minorEastAsia" w:eastAsiaTheme="minorEastAsia"/>
          <w:sz w:val="24"/>
        </w:rPr>
        <w:t xml:space="preserve"> </w:t>
      </w:r>
    </w:p>
    <w:p>
      <w:pPr>
        <w:pStyle w:val="41"/>
        <w:snapToGrid w:val="0"/>
        <w:spacing w:line="360" w:lineRule="auto"/>
        <w:ind w:firstLine="560"/>
        <w:rPr>
          <w:rFonts w:asciiTheme="minorEastAsia" w:hAnsiTheme="minorEastAsia" w:eastAsiaTheme="minorEastAsia"/>
          <w:color w:val="auto"/>
          <w:kern w:val="2"/>
          <w:szCs w:val="24"/>
        </w:rPr>
      </w:pPr>
      <w:r>
        <w:rPr>
          <w:rFonts w:hint="eastAsia" w:asciiTheme="minorEastAsia" w:hAnsiTheme="minorEastAsia" w:eastAsiaTheme="minorEastAsia"/>
          <w:color w:val="auto"/>
          <w:kern w:val="2"/>
          <w:szCs w:val="24"/>
        </w:rPr>
        <w:t>（1）如果乙方未能在合同规定的期限或甲方同意延期的限期内提供全部或部分货物（含软件及相关服务）；</w:t>
      </w:r>
      <w:r>
        <w:rPr>
          <w:rFonts w:asciiTheme="minorEastAsia" w:hAnsiTheme="minorEastAsia" w:eastAsiaTheme="minorEastAsia"/>
          <w:color w:val="auto"/>
          <w:kern w:val="2"/>
          <w:szCs w:val="24"/>
        </w:rPr>
        <w:t xml:space="preserve"> </w:t>
      </w:r>
    </w:p>
    <w:p>
      <w:pPr>
        <w:pStyle w:val="41"/>
        <w:snapToGrid w:val="0"/>
        <w:spacing w:line="360" w:lineRule="auto"/>
        <w:ind w:firstLine="560"/>
        <w:rPr>
          <w:rFonts w:asciiTheme="minorEastAsia" w:hAnsiTheme="minorEastAsia" w:eastAsiaTheme="minorEastAsia"/>
          <w:color w:val="auto"/>
          <w:kern w:val="2"/>
          <w:szCs w:val="24"/>
        </w:rPr>
      </w:pPr>
      <w:r>
        <w:rPr>
          <w:rFonts w:hint="eastAsia" w:asciiTheme="minorEastAsia" w:hAnsiTheme="minorEastAsia" w:eastAsiaTheme="minorEastAsia"/>
          <w:color w:val="auto"/>
          <w:kern w:val="2"/>
          <w:szCs w:val="24"/>
        </w:rPr>
        <w:t>（</w:t>
      </w:r>
      <w:r>
        <w:rPr>
          <w:rFonts w:asciiTheme="minorEastAsia" w:hAnsiTheme="minorEastAsia" w:eastAsiaTheme="minorEastAsia"/>
          <w:color w:val="auto"/>
          <w:kern w:val="2"/>
          <w:szCs w:val="24"/>
        </w:rPr>
        <w:t>2</w:t>
      </w:r>
      <w:r>
        <w:rPr>
          <w:rFonts w:hint="eastAsia" w:asciiTheme="minorEastAsia" w:hAnsiTheme="minorEastAsia" w:eastAsiaTheme="minorEastAsia"/>
          <w:color w:val="auto"/>
          <w:kern w:val="2"/>
          <w:szCs w:val="24"/>
        </w:rPr>
        <w:t>）如果乙方未能履行合同规定的其它义务。</w:t>
      </w:r>
      <w:r>
        <w:rPr>
          <w:rFonts w:asciiTheme="minorEastAsia" w:hAnsiTheme="minorEastAsia" w:eastAsiaTheme="minorEastAsia"/>
          <w:color w:val="auto"/>
          <w:kern w:val="2"/>
          <w:szCs w:val="24"/>
        </w:rPr>
        <w:t xml:space="preserve"> </w:t>
      </w:r>
    </w:p>
    <w:p>
      <w:pPr>
        <w:pStyle w:val="41"/>
        <w:snapToGrid w:val="0"/>
        <w:spacing w:line="360" w:lineRule="auto"/>
        <w:ind w:firstLine="560"/>
        <w:rPr>
          <w:rFonts w:asciiTheme="minorEastAsia" w:hAnsiTheme="minorEastAsia" w:eastAsiaTheme="minorEastAsia"/>
          <w:color w:val="auto"/>
          <w:kern w:val="2"/>
          <w:szCs w:val="24"/>
        </w:rPr>
      </w:pPr>
      <w:r>
        <w:rPr>
          <w:rFonts w:hint="eastAsia" w:asciiTheme="minorEastAsia" w:hAnsiTheme="minorEastAsia" w:eastAsiaTheme="minorEastAsia"/>
          <w:color w:val="auto"/>
          <w:kern w:val="2"/>
          <w:szCs w:val="24"/>
        </w:rPr>
        <w:t>17</w:t>
      </w:r>
      <w:r>
        <w:rPr>
          <w:rFonts w:asciiTheme="minorEastAsia" w:hAnsiTheme="minorEastAsia" w:eastAsiaTheme="minorEastAsia"/>
          <w:color w:val="auto"/>
          <w:kern w:val="2"/>
          <w:szCs w:val="24"/>
        </w:rPr>
        <w:t xml:space="preserve">.2 </w:t>
      </w:r>
      <w:r>
        <w:rPr>
          <w:rFonts w:hint="eastAsia" w:asciiTheme="minorEastAsia" w:hAnsiTheme="minorEastAsia" w:eastAsiaTheme="minorEastAsia"/>
          <w:color w:val="auto"/>
          <w:kern w:val="2"/>
          <w:szCs w:val="24"/>
        </w:rPr>
        <w:t>在甲方根据第17</w:t>
      </w:r>
      <w:r>
        <w:rPr>
          <w:rFonts w:asciiTheme="minorEastAsia" w:hAnsiTheme="minorEastAsia" w:eastAsiaTheme="minorEastAsia"/>
          <w:color w:val="auto"/>
          <w:kern w:val="2"/>
          <w:szCs w:val="24"/>
        </w:rPr>
        <w:t>.</w:t>
      </w:r>
      <w:r>
        <w:rPr>
          <w:rFonts w:hint="eastAsia" w:asciiTheme="minorEastAsia" w:hAnsiTheme="minorEastAsia" w:eastAsiaTheme="minorEastAsia"/>
          <w:color w:val="auto"/>
          <w:kern w:val="2"/>
          <w:szCs w:val="24"/>
        </w:rPr>
        <w:t>1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18.破产中止合同</w:t>
      </w: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18.1如果乙方破产或无清偿能力，甲方和见证方可在任何时候以书面形式通知乙方中止合同而不给乙方补偿。该中止合同将不损害或影响甲方和使用方已经采取或将要采取的任何行动或补救措施的权力。</w:t>
      </w: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19.转让</w:t>
      </w: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19.1 除甲方事先书面同意外，乙方不得部分转让或全部转让其应履行的合同义务。</w:t>
      </w: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20.合同生效及其它</w:t>
      </w:r>
    </w:p>
    <w:p>
      <w:pPr>
        <w:adjustRightInd w:val="0"/>
        <w:snapToGrid w:val="0"/>
        <w:spacing w:line="360" w:lineRule="auto"/>
        <w:rPr>
          <w:rFonts w:asciiTheme="minorEastAsia" w:hAnsiTheme="minorEastAsia" w:eastAsiaTheme="minorEastAsia"/>
          <w:b/>
          <w:color w:val="000000"/>
          <w:sz w:val="24"/>
        </w:rPr>
      </w:pPr>
      <w:r>
        <w:rPr>
          <w:rFonts w:hint="eastAsia" w:asciiTheme="minorEastAsia" w:hAnsiTheme="minorEastAsia" w:eastAsiaTheme="minorEastAsia"/>
          <w:sz w:val="24"/>
        </w:rPr>
        <w:t xml:space="preserve">     20.1采购人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项目的磋商文件、乙方提交的</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项目的响应文件、本次磋商的成交通知书和乙方的澄清等内容将作为本次采购合同文件的主要内容。乙方在合同履行过程中若发生服务内容缩减、服务不及时的现象，甲方有权要求乙方向甲方支付适当的违约金。</w:t>
      </w:r>
    </w:p>
    <w:p>
      <w:pPr>
        <w:pStyle w:val="1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20.2</w:t>
      </w:r>
      <w:r>
        <w:rPr>
          <w:rFonts w:hint="eastAsia" w:asciiTheme="minorEastAsia" w:hAnsiTheme="minorEastAsia" w:eastAsiaTheme="minorEastAsia"/>
          <w:sz w:val="24"/>
        </w:rPr>
        <w:t>本合同应在甲、乙双方签字盖章后生效。</w:t>
      </w: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20.3本合同一式五份，以中文书就，</w:t>
      </w:r>
      <w:r>
        <w:rPr>
          <w:rFonts w:hint="eastAsia" w:asciiTheme="minorEastAsia" w:hAnsiTheme="minorEastAsia" w:eastAsiaTheme="minorEastAsia"/>
          <w:sz w:val="24"/>
        </w:rPr>
        <w:t>均具有同等法律效力，</w:t>
      </w:r>
      <w:r>
        <w:rPr>
          <w:rFonts w:hint="eastAsia" w:asciiTheme="minorEastAsia" w:hAnsiTheme="minorEastAsia" w:eastAsiaTheme="minorEastAsia"/>
          <w:sz w:val="24"/>
          <w:szCs w:val="24"/>
        </w:rPr>
        <w:t>甲方执三份，乙方执二份。</w:t>
      </w: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20.4如需修改或补充合同内容，应经甲方、乙方协商，签署书面修改或补充协议。该协议将作为本合同不可分割的一部分。</w:t>
      </w:r>
    </w:p>
    <w:p>
      <w:pPr>
        <w:pStyle w:val="10"/>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20.5</w:t>
      </w:r>
      <w:r>
        <w:rPr>
          <w:rFonts w:hint="eastAsia" w:asciiTheme="minorEastAsia" w:hAnsiTheme="minorEastAsia" w:eastAsiaTheme="minorEastAsia"/>
          <w:sz w:val="24"/>
        </w:rPr>
        <w:t>本合同应按照中华人民共和国的现行法律进行解释。</w:t>
      </w:r>
    </w:p>
    <w:p>
      <w:pPr>
        <w:pStyle w:val="10"/>
        <w:spacing w:line="520" w:lineRule="exact"/>
        <w:jc w:val="center"/>
        <w:rPr>
          <w:rFonts w:cs="宋体" w:asciiTheme="minorEastAsia" w:hAnsiTheme="minorEastAsia" w:eastAsiaTheme="minorEastAsia"/>
          <w:b/>
          <w:bCs/>
          <w:sz w:val="36"/>
        </w:rPr>
      </w:pPr>
      <w:bookmarkStart w:id="4" w:name="_Toc27660566"/>
    </w:p>
    <w:p>
      <w:pPr>
        <w:pStyle w:val="10"/>
        <w:spacing w:line="520" w:lineRule="exact"/>
        <w:jc w:val="center"/>
        <w:rPr>
          <w:rFonts w:cs="宋体" w:asciiTheme="minorEastAsia" w:hAnsiTheme="minorEastAsia" w:eastAsiaTheme="minorEastAsia"/>
          <w:b/>
          <w:bCs/>
          <w:sz w:val="36"/>
        </w:rPr>
      </w:pPr>
    </w:p>
    <w:p>
      <w:pPr>
        <w:pStyle w:val="10"/>
        <w:spacing w:line="520" w:lineRule="exact"/>
        <w:jc w:val="center"/>
        <w:rPr>
          <w:rFonts w:ascii="仿宋" w:hAnsi="仿宋" w:eastAsia="仿宋" w:cs="仿宋"/>
          <w:b/>
          <w:sz w:val="36"/>
          <w:szCs w:val="36"/>
        </w:rPr>
      </w:pPr>
      <w:r>
        <w:rPr>
          <w:rFonts w:hint="eastAsia" w:cs="宋体" w:asciiTheme="minorEastAsia" w:hAnsiTheme="minorEastAsia" w:eastAsiaTheme="minorEastAsia"/>
          <w:b/>
          <w:bCs/>
          <w:sz w:val="36"/>
        </w:rPr>
        <w:t>第五章  项目采购需求</w:t>
      </w:r>
      <w:bookmarkEnd w:id="4"/>
    </w:p>
    <w:p>
      <w:pPr>
        <w:adjustRightInd w:val="0"/>
        <w:snapToGrid w:val="0"/>
        <w:spacing w:line="360" w:lineRule="auto"/>
        <w:jc w:val="left"/>
        <w:rPr>
          <w:rFonts w:ascii="宋体" w:hAnsi="宋体" w:cs="宋体"/>
          <w:b/>
          <w:sz w:val="24"/>
        </w:rPr>
      </w:pPr>
      <w:r>
        <w:rPr>
          <w:rFonts w:hint="eastAsia" w:ascii="宋体" w:hAnsi="宋体" w:cs="宋体"/>
          <w:b/>
          <w:sz w:val="24"/>
        </w:rPr>
        <w:t>一、项目概况</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本项目需要对淮阴师范学院生科院413办公室和415实验室拆除所有原实验台</w:t>
      </w:r>
      <w:r>
        <w:rPr>
          <w:rFonts w:hint="eastAsia" w:ascii="宋体" w:hAnsi="宋体" w:cs="宋体"/>
          <w:bCs/>
          <w:sz w:val="24"/>
          <w:lang w:eastAsia="zh-CN"/>
        </w:rPr>
        <w:t>等</w:t>
      </w:r>
      <w:r>
        <w:rPr>
          <w:rFonts w:hint="eastAsia" w:ascii="宋体" w:hAnsi="宋体" w:cs="宋体"/>
          <w:bCs/>
          <w:sz w:val="24"/>
        </w:rPr>
        <w:t>并进行全面改造，总面积约137㎡。改造后413（约36㎡）和415实验室外间（约24㎡）将作为办公室。413室需隔断成教授办公室（约14㎡）和学生办公室（约22㎡）。415室内间含一个常规实验室（约72㎡）和一个常年恒定4℃的冷库（约5㎡）。</w:t>
      </w:r>
    </w:p>
    <w:p>
      <w:pPr>
        <w:adjustRightInd w:val="0"/>
        <w:snapToGrid w:val="0"/>
        <w:spacing w:line="360" w:lineRule="auto"/>
        <w:jc w:val="left"/>
        <w:rPr>
          <w:rFonts w:ascii="宋体" w:hAnsi="宋体" w:cs="宋体"/>
          <w:b/>
          <w:sz w:val="24"/>
        </w:rPr>
      </w:pPr>
      <w:r>
        <w:rPr>
          <w:rFonts w:ascii="宋体" w:hAnsi="宋体" w:cs="宋体"/>
          <w:sz w:val="24"/>
        </w:rPr>
        <w:t>★</w:t>
      </w:r>
      <w:r>
        <w:rPr>
          <w:rFonts w:hint="eastAsia" w:ascii="宋体" w:hAnsi="宋体" w:cs="宋体"/>
          <w:b/>
          <w:sz w:val="24"/>
        </w:rPr>
        <w:t>二、采购项目、数量及要求</w:t>
      </w:r>
    </w:p>
    <w:p>
      <w:pPr>
        <w:numPr>
          <w:ilvl w:val="0"/>
          <w:numId w:val="1"/>
        </w:numPr>
        <w:adjustRightInd w:val="0"/>
        <w:snapToGrid w:val="0"/>
        <w:spacing w:line="360" w:lineRule="auto"/>
        <w:jc w:val="left"/>
        <w:rPr>
          <w:rFonts w:hint="eastAsia" w:ascii="宋体" w:hAnsi="宋体" w:cs="宋体"/>
          <w:b/>
          <w:sz w:val="24"/>
        </w:rPr>
      </w:pPr>
      <w:r>
        <w:rPr>
          <w:rFonts w:hint="eastAsia" w:ascii="宋体" w:hAnsi="宋体" w:cs="宋体"/>
          <w:b/>
          <w:sz w:val="24"/>
        </w:rPr>
        <w:t>设备部分</w:t>
      </w:r>
    </w:p>
    <w:tbl>
      <w:tblPr>
        <w:tblStyle w:val="20"/>
        <w:tblW w:w="23161" w:type="dxa"/>
        <w:tblInd w:w="15" w:type="dxa"/>
        <w:tblLayout w:type="fixed"/>
        <w:tblCellMar>
          <w:top w:w="0" w:type="dxa"/>
          <w:left w:w="0" w:type="dxa"/>
          <w:bottom w:w="0" w:type="dxa"/>
          <w:right w:w="0" w:type="dxa"/>
        </w:tblCellMar>
      </w:tblPr>
      <w:tblGrid>
        <w:gridCol w:w="547"/>
        <w:gridCol w:w="1013"/>
        <w:gridCol w:w="850"/>
        <w:gridCol w:w="6662"/>
        <w:gridCol w:w="14089"/>
      </w:tblGrid>
      <w:tr>
        <w:tblPrEx>
          <w:tblLayout w:type="fixed"/>
          <w:tblCellMar>
            <w:top w:w="0" w:type="dxa"/>
            <w:left w:w="0" w:type="dxa"/>
            <w:bottom w:w="0" w:type="dxa"/>
            <w:right w:w="0" w:type="dxa"/>
          </w:tblCellMar>
        </w:tblPrEx>
        <w:trPr>
          <w:gridAfter w:val="1"/>
          <w:wAfter w:w="14089" w:type="dxa"/>
          <w:trHeight w:val="4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序号</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项目名称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数量</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技术要求</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中央实验台（415实验室中央）</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cs="宋体"/>
                <w:color w:val="000000"/>
                <w:szCs w:val="21"/>
              </w:rPr>
            </w:pPr>
            <w:r>
              <w:rPr>
                <w:rFonts w:hint="eastAsia" w:cs="宋体"/>
                <w:color w:val="000000"/>
                <w:szCs w:val="21"/>
              </w:rPr>
              <w:t>2台</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cs="宋体"/>
                <w:kern w:val="0"/>
                <w:szCs w:val="21"/>
              </w:rPr>
            </w:pPr>
            <w:r>
              <w:rPr>
                <w:rFonts w:hint="eastAsia" w:ascii="宋体" w:hAnsi="宋体" w:cs="宋体"/>
                <w:kern w:val="0"/>
                <w:szCs w:val="21"/>
              </w:rPr>
              <w:t>尺寸：4600*1500*800mm</w:t>
            </w:r>
            <w:r>
              <w:rPr>
                <w:rFonts w:hint="eastAsia" w:cs="宋体"/>
                <w:kern w:val="0"/>
                <w:szCs w:val="21"/>
              </w:rPr>
              <w:t xml:space="preserve"> </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①</w:t>
            </w:r>
            <w:r>
              <w:rPr>
                <w:rFonts w:cs="宋体"/>
                <w:color w:val="000000"/>
                <w:kern w:val="0"/>
                <w:szCs w:val="21"/>
              </w:rPr>
              <w:t>台面：使用≥12.7mm厚实芯理化板台面，</w:t>
            </w:r>
            <w:r>
              <w:rPr>
                <w:color w:val="000000"/>
                <w:szCs w:val="21"/>
              </w:rPr>
              <w:t>四周边缘加厚处理，</w:t>
            </w:r>
            <w:r>
              <w:rPr>
                <w:rFonts w:cs="宋体"/>
                <w:color w:val="000000"/>
                <w:kern w:val="0"/>
                <w:szCs w:val="21"/>
              </w:rPr>
              <w:t>加厚边</w:t>
            </w:r>
            <w:r>
              <w:rPr>
                <w:rFonts w:hint="eastAsia" w:cs="宋体"/>
                <w:color w:val="000000"/>
                <w:kern w:val="0"/>
                <w:szCs w:val="21"/>
              </w:rPr>
              <w:t>不小于</w:t>
            </w:r>
            <w:r>
              <w:rPr>
                <w:rFonts w:cs="宋体"/>
                <w:color w:val="000000"/>
                <w:kern w:val="0"/>
                <w:szCs w:val="21"/>
              </w:rPr>
              <w:t>26mm，</w:t>
            </w:r>
            <w:r>
              <w:rPr>
                <w:color w:val="000000"/>
                <w:szCs w:val="21"/>
              </w:rPr>
              <w:t>下面配有滴水线</w:t>
            </w:r>
            <w:r>
              <w:rPr>
                <w:rFonts w:hint="eastAsia"/>
                <w:color w:val="000000"/>
                <w:szCs w:val="21"/>
              </w:rPr>
              <w:t>。</w:t>
            </w:r>
            <w:r>
              <w:rPr>
                <w:rFonts w:hint="eastAsia" w:cs="宋体"/>
                <w:color w:val="000000"/>
                <w:kern w:val="0"/>
                <w:szCs w:val="21"/>
              </w:rPr>
              <w:t>台面接缝放在合理位置，并作密封</w:t>
            </w:r>
            <w:r>
              <w:rPr>
                <w:color w:val="000000"/>
                <w:szCs w:val="21"/>
              </w:rPr>
              <w:t>处理，</w:t>
            </w:r>
            <w:r>
              <w:rPr>
                <w:rFonts w:hint="eastAsia"/>
                <w:color w:val="000000"/>
                <w:szCs w:val="21"/>
              </w:rPr>
              <w:t>且</w:t>
            </w:r>
            <w:r>
              <w:rPr>
                <w:color w:val="000000"/>
                <w:szCs w:val="21"/>
              </w:rPr>
              <w:t>下方开有防止渗流槽</w:t>
            </w:r>
            <w:r>
              <w:rPr>
                <w:rFonts w:hint="eastAsia"/>
                <w:color w:val="000000"/>
                <w:szCs w:val="21"/>
              </w:rPr>
              <w:t>等</w:t>
            </w:r>
            <w:r>
              <w:rPr>
                <w:color w:val="000000"/>
                <w:szCs w:val="21"/>
              </w:rPr>
              <w:t>结构，</w:t>
            </w:r>
            <w:r>
              <w:rPr>
                <w:rFonts w:hint="eastAsia" w:cs="宋体"/>
                <w:color w:val="000000"/>
                <w:kern w:val="0"/>
                <w:szCs w:val="21"/>
              </w:rPr>
              <w:t>须</w:t>
            </w:r>
            <w:r>
              <w:rPr>
                <w:rFonts w:cs="宋体"/>
                <w:color w:val="000000"/>
                <w:kern w:val="0"/>
                <w:szCs w:val="21"/>
              </w:rPr>
              <w:t>耐酸碱、耐冲击、美观实用。</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②</w:t>
            </w:r>
            <w:r>
              <w:rPr>
                <w:rFonts w:cs="宋体"/>
                <w:color w:val="000000"/>
                <w:kern w:val="0"/>
                <w:szCs w:val="21"/>
              </w:rPr>
              <w:t>钢架：不小于40mm*60mm，钢材厚度不小于1.2mm，满缝焊接，连接处一体成型，专用连接件连接；表面须经过严格特殊处理，耐酸碱腐蚀，抗氧化，每平米承重不小于400kg。</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③</w:t>
            </w:r>
            <w:r>
              <w:rPr>
                <w:rFonts w:cs="宋体"/>
                <w:color w:val="000000"/>
                <w:kern w:val="0"/>
                <w:szCs w:val="21"/>
              </w:rPr>
              <w:t>柜体: 至少16mm厚优质E1级三聚氰胺板，</w:t>
            </w:r>
            <w:r>
              <w:rPr>
                <w:rFonts w:hint="eastAsia" w:cs="宋体"/>
                <w:color w:val="000000"/>
                <w:kern w:val="0"/>
                <w:szCs w:val="21"/>
              </w:rPr>
              <w:t>须</w:t>
            </w:r>
            <w:r>
              <w:rPr>
                <w:rFonts w:cs="宋体"/>
                <w:color w:val="000000"/>
                <w:kern w:val="0"/>
                <w:szCs w:val="21"/>
              </w:rPr>
              <w:t>经过防腐</w:t>
            </w:r>
            <w:r>
              <w:rPr>
                <w:rFonts w:hint="eastAsia" w:cs="宋体"/>
                <w:color w:val="000000"/>
                <w:kern w:val="0"/>
                <w:szCs w:val="21"/>
              </w:rPr>
              <w:t>、</w:t>
            </w:r>
            <w:r>
              <w:rPr>
                <w:rFonts w:cs="宋体"/>
                <w:color w:val="000000"/>
                <w:kern w:val="0"/>
                <w:szCs w:val="21"/>
              </w:rPr>
              <w:t>防虫</w:t>
            </w:r>
            <w:r>
              <w:rPr>
                <w:rFonts w:hint="eastAsia" w:cs="宋体"/>
                <w:color w:val="000000"/>
                <w:kern w:val="0"/>
                <w:szCs w:val="21"/>
              </w:rPr>
              <w:t>、</w:t>
            </w:r>
            <w:r>
              <w:rPr>
                <w:rFonts w:cs="宋体"/>
                <w:color w:val="000000"/>
                <w:kern w:val="0"/>
                <w:szCs w:val="21"/>
              </w:rPr>
              <w:t>防潮处理。所有断面</w:t>
            </w:r>
            <w:r>
              <w:rPr>
                <w:rFonts w:hint="eastAsia" w:cs="宋体"/>
                <w:color w:val="000000"/>
                <w:kern w:val="0"/>
                <w:szCs w:val="21"/>
              </w:rPr>
              <w:t>须</w:t>
            </w:r>
            <w:r>
              <w:rPr>
                <w:rFonts w:cs="宋体"/>
                <w:color w:val="000000"/>
                <w:kern w:val="0"/>
                <w:szCs w:val="21"/>
              </w:rPr>
              <w:t>经2mm厚 PVC封边条配胶热熔防水封边处理；要求不翘不裂、耐潮耐热、质地结实、表面平整、耐承重、有一定的强度。柜体内设</w:t>
            </w:r>
            <w:r>
              <w:rPr>
                <w:rFonts w:hint="eastAsia" w:cs="宋体"/>
                <w:color w:val="000000"/>
                <w:kern w:val="0"/>
                <w:szCs w:val="21"/>
              </w:rPr>
              <w:t>1</w:t>
            </w:r>
            <w:r>
              <w:rPr>
                <w:rFonts w:cs="宋体"/>
                <w:color w:val="000000"/>
                <w:kern w:val="0"/>
                <w:szCs w:val="21"/>
              </w:rPr>
              <w:t>层活动隔板，</w:t>
            </w:r>
            <w:r>
              <w:rPr>
                <w:color w:val="000000"/>
                <w:szCs w:val="21"/>
              </w:rPr>
              <w:t>在有水管、电线连接的部位</w:t>
            </w:r>
            <w:r>
              <w:rPr>
                <w:rFonts w:cs="宋体"/>
                <w:color w:val="000000"/>
                <w:kern w:val="0"/>
                <w:szCs w:val="21"/>
              </w:rPr>
              <w:t>，背板设活动挡板，以方便维修。</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④</w:t>
            </w:r>
            <w:r>
              <w:rPr>
                <w:rFonts w:cs="宋体"/>
                <w:color w:val="000000"/>
                <w:kern w:val="0"/>
                <w:szCs w:val="21"/>
              </w:rPr>
              <w:t>柜门、抽屉面板</w:t>
            </w:r>
            <w:r>
              <w:rPr>
                <w:rFonts w:hint="eastAsia" w:cs="宋体"/>
                <w:color w:val="000000"/>
                <w:kern w:val="0"/>
                <w:szCs w:val="21"/>
              </w:rPr>
              <w:t>、</w:t>
            </w:r>
            <w:r>
              <w:rPr>
                <w:rFonts w:cs="宋体"/>
                <w:color w:val="000000"/>
                <w:kern w:val="0"/>
                <w:szCs w:val="21"/>
              </w:rPr>
              <w:t>背板：至少16mm厚优质E1级三聚氰胺板，经过防腐防虫防潮处理。所有断面经2mm厚 PVC封边条配胶热熔防水封边处理；要求不翘不裂、耐潮耐热、质地结实、表面平整、耐承重、有一定的强度。</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⑤</w:t>
            </w:r>
            <w:r>
              <w:rPr>
                <w:rFonts w:cs="宋体"/>
                <w:color w:val="000000"/>
                <w:kern w:val="0"/>
                <w:szCs w:val="21"/>
              </w:rPr>
              <w:t>活动层板：至少16mm厚优质E1级三聚氰胺板，所有断面</w:t>
            </w:r>
            <w:r>
              <w:rPr>
                <w:rFonts w:hint="eastAsia" w:cs="宋体"/>
                <w:color w:val="000000"/>
                <w:kern w:val="0"/>
                <w:szCs w:val="21"/>
              </w:rPr>
              <w:t>须</w:t>
            </w:r>
            <w:r>
              <w:rPr>
                <w:rFonts w:cs="宋体"/>
                <w:color w:val="000000"/>
                <w:kern w:val="0"/>
                <w:szCs w:val="21"/>
              </w:rPr>
              <w:t>经PVC封边条配胶热熔防水封边处理，可根据需要自由拆装，四边倒角圆滑处理。</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⑥</w:t>
            </w:r>
            <w:r>
              <w:rPr>
                <w:rFonts w:cs="宋体"/>
                <w:color w:val="000000"/>
                <w:kern w:val="0"/>
                <w:szCs w:val="21"/>
              </w:rPr>
              <w:t>滑轨、铰链等金属配件需符合相应国家标准。</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⑦</w:t>
            </w:r>
            <w:r>
              <w:rPr>
                <w:rFonts w:cs="宋体"/>
                <w:color w:val="000000"/>
                <w:kern w:val="0"/>
                <w:szCs w:val="21"/>
              </w:rPr>
              <w:t>可调脚：</w:t>
            </w:r>
            <w:r>
              <w:rPr>
                <w:color w:val="000000"/>
                <w:szCs w:val="21"/>
              </w:rPr>
              <w:t>钢制可调地脚</w:t>
            </w:r>
            <w:r>
              <w:rPr>
                <w:rFonts w:cs="宋体"/>
                <w:color w:val="000000"/>
                <w:kern w:val="0"/>
                <w:szCs w:val="21"/>
              </w:rPr>
              <w:t>可调整柜体高度0-30mm, 具有防震效果。</w:t>
            </w:r>
          </w:p>
          <w:p>
            <w:pPr>
              <w:widowControl/>
              <w:adjustRightInd w:val="0"/>
              <w:snapToGrid w:val="0"/>
              <w:spacing w:line="360" w:lineRule="auto"/>
              <w:jc w:val="left"/>
              <w:textAlignment w:val="center"/>
              <w:rPr>
                <w:szCs w:val="21"/>
              </w:rPr>
            </w:pPr>
            <w:r>
              <w:rPr>
                <w:rFonts w:hint="eastAsia" w:ascii="宋体" w:hAnsi="宋体" w:cs="宋体"/>
                <w:color w:val="000000"/>
                <w:kern w:val="0"/>
                <w:szCs w:val="21"/>
              </w:rPr>
              <w:t>⑧</w:t>
            </w:r>
            <w:r>
              <w:rPr>
                <w:rFonts w:hint="eastAsia"/>
                <w:szCs w:val="21"/>
              </w:rPr>
              <w:t>实验台每侧留3个工作区域；</w:t>
            </w:r>
          </w:p>
          <w:p>
            <w:pPr>
              <w:widowControl/>
              <w:adjustRightInd w:val="0"/>
              <w:snapToGrid w:val="0"/>
              <w:spacing w:line="360" w:lineRule="auto"/>
              <w:jc w:val="left"/>
              <w:textAlignment w:val="center"/>
              <w:rPr>
                <w:szCs w:val="21"/>
              </w:rPr>
            </w:pPr>
            <w:r>
              <w:rPr>
                <w:rFonts w:hint="eastAsia" w:cs="宋体"/>
                <w:szCs w:val="21"/>
              </w:rPr>
              <w:t>⑨</w:t>
            </w:r>
            <w:r>
              <w:rPr>
                <w:rFonts w:hint="eastAsia"/>
                <w:szCs w:val="21"/>
              </w:rPr>
              <w:t>颜色：</w:t>
            </w:r>
            <w:r>
              <w:rPr>
                <w:szCs w:val="21"/>
              </w:rPr>
              <w:t>整体</w:t>
            </w:r>
            <w:r>
              <w:rPr>
                <w:rFonts w:hint="eastAsia"/>
                <w:szCs w:val="21"/>
              </w:rPr>
              <w:t>要求为</w:t>
            </w:r>
            <w:r>
              <w:rPr>
                <w:szCs w:val="21"/>
              </w:rPr>
              <w:t>浅色系</w:t>
            </w:r>
            <w:r>
              <w:rPr>
                <w:rFonts w:hint="eastAsia"/>
                <w:szCs w:val="21"/>
              </w:rPr>
              <w:t>，</w:t>
            </w:r>
            <w:r>
              <w:rPr>
                <w:szCs w:val="21"/>
              </w:rPr>
              <w:t>包括台面，如奶油色、象牙色、乳白色等</w:t>
            </w:r>
            <w:r>
              <w:rPr>
                <w:rFonts w:hint="eastAsia"/>
                <w:szCs w:val="21"/>
              </w:rPr>
              <w:t>；</w:t>
            </w:r>
          </w:p>
          <w:p>
            <w:pPr>
              <w:widowControl/>
              <w:adjustRightInd w:val="0"/>
              <w:snapToGrid w:val="0"/>
              <w:spacing w:line="360" w:lineRule="auto"/>
              <w:jc w:val="left"/>
              <w:textAlignment w:val="center"/>
              <w:rPr>
                <w:szCs w:val="21"/>
              </w:rPr>
            </w:pPr>
            <w:r>
              <w:rPr>
                <w:rFonts w:hint="eastAsia"/>
                <w:szCs w:val="21"/>
              </w:rPr>
              <w:t>⑩实验台</w:t>
            </w:r>
            <w:r>
              <w:rPr>
                <w:szCs w:val="21"/>
              </w:rPr>
              <w:t>各项性能指标需符合GB24820</w:t>
            </w:r>
            <w:r>
              <w:rPr>
                <w:rFonts w:hint="eastAsia"/>
                <w:szCs w:val="21"/>
              </w:rPr>
              <w:t>-2009实验室家具通用技术条件。所有板材甲醛含量需符合国家标准。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FF0000"/>
                <w:kern w:val="0"/>
                <w:szCs w:val="21"/>
              </w:rPr>
            </w:pPr>
            <w:r>
              <w:rPr>
                <w:rFonts w:hint="eastAsia" w:ascii="宋体" w:hAnsi="宋体" w:cs="宋体"/>
                <w:color w:val="000000"/>
                <w:kern w:val="0"/>
                <w:szCs w:val="21"/>
              </w:rPr>
              <w:t>中央实验台</w:t>
            </w:r>
            <w:r>
              <w:rPr>
                <w:rFonts w:hint="eastAsia" w:ascii="宋体" w:hAnsi="宋体" w:cs="宋体"/>
                <w:kern w:val="0"/>
                <w:szCs w:val="21"/>
              </w:rPr>
              <w:t>水斗台</w:t>
            </w:r>
            <w:r>
              <w:rPr>
                <w:rFonts w:hint="eastAsia" w:ascii="宋体" w:hAnsi="宋体" w:cs="宋体"/>
                <w:color w:val="000000"/>
                <w:kern w:val="0"/>
                <w:szCs w:val="21"/>
              </w:rPr>
              <w:t>（415实验室中央）</w:t>
            </w:r>
          </w:p>
          <w:p>
            <w:pPr>
              <w:pStyle w:val="41"/>
              <w:snapToGrid w:val="0"/>
              <w:spacing w:line="360" w:lineRule="auto"/>
              <w:ind w:left="5250"/>
              <w:rPr>
                <w:sz w:val="21"/>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2台</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尺寸：750*1500*800mm</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①</w:t>
            </w:r>
            <w:r>
              <w:rPr>
                <w:rFonts w:cs="宋体"/>
                <w:color w:val="000000"/>
                <w:kern w:val="0"/>
                <w:szCs w:val="21"/>
              </w:rPr>
              <w:t>台面：使用≥12.7mm厚实芯理化板台面，</w:t>
            </w:r>
            <w:r>
              <w:rPr>
                <w:color w:val="000000"/>
                <w:szCs w:val="21"/>
              </w:rPr>
              <w:t>四周边缘加厚处理，</w:t>
            </w:r>
            <w:r>
              <w:rPr>
                <w:rFonts w:cs="宋体"/>
                <w:color w:val="000000"/>
                <w:kern w:val="0"/>
                <w:szCs w:val="21"/>
              </w:rPr>
              <w:t>加厚边</w:t>
            </w:r>
            <w:r>
              <w:rPr>
                <w:rFonts w:hint="eastAsia" w:cs="宋体"/>
                <w:color w:val="000000"/>
                <w:kern w:val="0"/>
                <w:szCs w:val="21"/>
              </w:rPr>
              <w:t>不小于</w:t>
            </w:r>
            <w:r>
              <w:rPr>
                <w:rFonts w:cs="宋体"/>
                <w:color w:val="000000"/>
                <w:kern w:val="0"/>
                <w:szCs w:val="21"/>
              </w:rPr>
              <w:t>26mm，</w:t>
            </w:r>
            <w:r>
              <w:rPr>
                <w:color w:val="000000"/>
                <w:szCs w:val="21"/>
              </w:rPr>
              <w:t>下面配有滴水线</w:t>
            </w:r>
            <w:r>
              <w:rPr>
                <w:rFonts w:hint="eastAsia"/>
                <w:color w:val="000000"/>
                <w:szCs w:val="21"/>
              </w:rPr>
              <w:t>。</w:t>
            </w:r>
            <w:r>
              <w:rPr>
                <w:rFonts w:hint="eastAsia" w:cs="宋体"/>
                <w:color w:val="000000"/>
                <w:kern w:val="0"/>
                <w:szCs w:val="21"/>
              </w:rPr>
              <w:t>台面接缝放在合理位置，并作密封</w:t>
            </w:r>
            <w:r>
              <w:rPr>
                <w:color w:val="000000"/>
                <w:szCs w:val="21"/>
              </w:rPr>
              <w:t>处理，</w:t>
            </w:r>
            <w:r>
              <w:rPr>
                <w:rFonts w:hint="eastAsia"/>
                <w:color w:val="000000"/>
                <w:szCs w:val="21"/>
              </w:rPr>
              <w:t>且</w:t>
            </w:r>
            <w:r>
              <w:rPr>
                <w:color w:val="000000"/>
                <w:szCs w:val="21"/>
              </w:rPr>
              <w:t>下方开有防止渗流槽</w:t>
            </w:r>
            <w:r>
              <w:rPr>
                <w:rFonts w:hint="eastAsia"/>
                <w:color w:val="000000"/>
                <w:szCs w:val="21"/>
              </w:rPr>
              <w:t>等</w:t>
            </w:r>
            <w:r>
              <w:rPr>
                <w:color w:val="000000"/>
                <w:szCs w:val="21"/>
              </w:rPr>
              <w:t>结构，</w:t>
            </w:r>
            <w:r>
              <w:rPr>
                <w:rFonts w:hint="eastAsia" w:cs="宋体"/>
                <w:color w:val="000000"/>
                <w:kern w:val="0"/>
                <w:szCs w:val="21"/>
              </w:rPr>
              <w:t>须</w:t>
            </w:r>
            <w:r>
              <w:rPr>
                <w:rFonts w:cs="宋体"/>
                <w:color w:val="000000"/>
                <w:kern w:val="0"/>
                <w:szCs w:val="21"/>
              </w:rPr>
              <w:t>耐酸碱、耐冲击、美观实用。</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②</w:t>
            </w:r>
            <w:r>
              <w:rPr>
                <w:rFonts w:cs="宋体"/>
                <w:color w:val="000000"/>
                <w:kern w:val="0"/>
                <w:szCs w:val="21"/>
              </w:rPr>
              <w:t>钢架：不小于40mm*60mm，钢材厚度不小于1.2mm，满缝焊接，连接处一体成型，专用连接件连接；表面须经过严格特殊处理，耐酸碱腐蚀，抗氧化，每平米承重不小于400kg。</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③</w:t>
            </w:r>
            <w:r>
              <w:rPr>
                <w:rFonts w:cs="宋体"/>
                <w:color w:val="000000"/>
                <w:kern w:val="0"/>
                <w:szCs w:val="21"/>
              </w:rPr>
              <w:t>柜体: 至少16mm厚优质E1级三聚氰胺板，</w:t>
            </w:r>
            <w:r>
              <w:rPr>
                <w:rFonts w:hint="eastAsia" w:cs="宋体"/>
                <w:color w:val="000000"/>
                <w:kern w:val="0"/>
                <w:szCs w:val="21"/>
              </w:rPr>
              <w:t>须</w:t>
            </w:r>
            <w:r>
              <w:rPr>
                <w:rFonts w:cs="宋体"/>
                <w:color w:val="000000"/>
                <w:kern w:val="0"/>
                <w:szCs w:val="21"/>
              </w:rPr>
              <w:t>经过防腐</w:t>
            </w:r>
            <w:r>
              <w:rPr>
                <w:rFonts w:hint="eastAsia" w:cs="宋体"/>
                <w:color w:val="000000"/>
                <w:kern w:val="0"/>
                <w:szCs w:val="21"/>
              </w:rPr>
              <w:t>、</w:t>
            </w:r>
            <w:r>
              <w:rPr>
                <w:rFonts w:cs="宋体"/>
                <w:color w:val="000000"/>
                <w:kern w:val="0"/>
                <w:szCs w:val="21"/>
              </w:rPr>
              <w:t>防虫</w:t>
            </w:r>
            <w:r>
              <w:rPr>
                <w:rFonts w:hint="eastAsia" w:cs="宋体"/>
                <w:color w:val="000000"/>
                <w:kern w:val="0"/>
                <w:szCs w:val="21"/>
              </w:rPr>
              <w:t>、</w:t>
            </w:r>
            <w:r>
              <w:rPr>
                <w:rFonts w:cs="宋体"/>
                <w:color w:val="000000"/>
                <w:kern w:val="0"/>
                <w:szCs w:val="21"/>
              </w:rPr>
              <w:t>防潮处理。所有断面</w:t>
            </w:r>
            <w:r>
              <w:rPr>
                <w:rFonts w:hint="eastAsia" w:cs="宋体"/>
                <w:color w:val="000000"/>
                <w:kern w:val="0"/>
                <w:szCs w:val="21"/>
              </w:rPr>
              <w:t>须</w:t>
            </w:r>
            <w:r>
              <w:rPr>
                <w:rFonts w:cs="宋体"/>
                <w:color w:val="000000"/>
                <w:kern w:val="0"/>
                <w:szCs w:val="21"/>
              </w:rPr>
              <w:t>经2mm厚 PVC封边条配胶热熔防水封边处理；要求不翘不裂、耐潮耐热、质地结实、表面平整、耐承重、有一定的强度。柜体内设</w:t>
            </w:r>
            <w:r>
              <w:rPr>
                <w:rFonts w:hint="eastAsia" w:cs="宋体"/>
                <w:color w:val="000000"/>
                <w:kern w:val="0"/>
                <w:szCs w:val="21"/>
              </w:rPr>
              <w:t>1</w:t>
            </w:r>
            <w:r>
              <w:rPr>
                <w:rFonts w:cs="宋体"/>
                <w:color w:val="000000"/>
                <w:kern w:val="0"/>
                <w:szCs w:val="21"/>
              </w:rPr>
              <w:t>层活动隔板，</w:t>
            </w:r>
            <w:r>
              <w:rPr>
                <w:color w:val="000000"/>
                <w:szCs w:val="21"/>
              </w:rPr>
              <w:t>在有水管、电线连接的部位</w:t>
            </w:r>
            <w:r>
              <w:rPr>
                <w:rFonts w:cs="宋体"/>
                <w:color w:val="000000"/>
                <w:kern w:val="0"/>
                <w:szCs w:val="21"/>
              </w:rPr>
              <w:t>，背板设活动挡板，以方便维修。</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④</w:t>
            </w:r>
            <w:r>
              <w:rPr>
                <w:rFonts w:cs="宋体"/>
                <w:color w:val="000000"/>
                <w:kern w:val="0"/>
                <w:szCs w:val="21"/>
              </w:rPr>
              <w:t>柜门、抽屉面板</w:t>
            </w:r>
            <w:r>
              <w:rPr>
                <w:rFonts w:hint="eastAsia" w:cs="宋体"/>
                <w:color w:val="000000"/>
                <w:kern w:val="0"/>
                <w:szCs w:val="21"/>
              </w:rPr>
              <w:t>、</w:t>
            </w:r>
            <w:r>
              <w:rPr>
                <w:rFonts w:cs="宋体"/>
                <w:color w:val="000000"/>
                <w:kern w:val="0"/>
                <w:szCs w:val="21"/>
              </w:rPr>
              <w:t>背板：至少16mm厚优质E1级三聚氰胺板，经过防腐防虫防潮处理。所有断面经2mm厚 PVC封边条配胶热熔防水封边处理；要求不翘不裂、耐潮耐热、质地结实、表面平整、耐承重、有一定的强度。</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⑤</w:t>
            </w:r>
            <w:r>
              <w:rPr>
                <w:rFonts w:cs="宋体"/>
                <w:color w:val="000000"/>
                <w:kern w:val="0"/>
                <w:szCs w:val="21"/>
              </w:rPr>
              <w:t>活动层板：至少16mm厚优质E1级三聚氰胺板，所有断面</w:t>
            </w:r>
            <w:r>
              <w:rPr>
                <w:rFonts w:hint="eastAsia" w:cs="宋体"/>
                <w:color w:val="000000"/>
                <w:kern w:val="0"/>
                <w:szCs w:val="21"/>
              </w:rPr>
              <w:t>须</w:t>
            </w:r>
            <w:r>
              <w:rPr>
                <w:rFonts w:cs="宋体"/>
                <w:color w:val="000000"/>
                <w:kern w:val="0"/>
                <w:szCs w:val="21"/>
              </w:rPr>
              <w:t>经PVC封边条配胶热熔防水封边处理，可根据需要自由拆装，四边倒角圆滑处理。</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⑥</w:t>
            </w:r>
            <w:r>
              <w:rPr>
                <w:rFonts w:cs="宋体"/>
                <w:color w:val="000000"/>
                <w:kern w:val="0"/>
                <w:szCs w:val="21"/>
              </w:rPr>
              <w:t>滑轨、铰链等金属配件需符合相应国家标准。</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⑦</w:t>
            </w:r>
            <w:r>
              <w:rPr>
                <w:rFonts w:cs="宋体"/>
                <w:color w:val="000000"/>
                <w:kern w:val="0"/>
                <w:szCs w:val="21"/>
              </w:rPr>
              <w:t>可调脚：</w:t>
            </w:r>
            <w:r>
              <w:rPr>
                <w:color w:val="000000"/>
                <w:szCs w:val="21"/>
              </w:rPr>
              <w:t>钢制可调地脚</w:t>
            </w:r>
            <w:r>
              <w:rPr>
                <w:rFonts w:cs="宋体"/>
                <w:color w:val="000000"/>
                <w:kern w:val="0"/>
                <w:szCs w:val="21"/>
              </w:rPr>
              <w:t>可调整柜体高度0-30mm, 具有防震效果。</w:t>
            </w:r>
          </w:p>
          <w:p>
            <w:pPr>
              <w:widowControl/>
              <w:adjustRightInd w:val="0"/>
              <w:snapToGrid w:val="0"/>
              <w:spacing w:line="360" w:lineRule="auto"/>
              <w:jc w:val="left"/>
              <w:textAlignment w:val="center"/>
              <w:rPr>
                <w:szCs w:val="21"/>
              </w:rPr>
            </w:pPr>
            <w:r>
              <w:rPr>
                <w:rFonts w:hint="eastAsia" w:ascii="宋体" w:hAnsi="宋体" w:cs="宋体"/>
                <w:color w:val="000000"/>
                <w:kern w:val="0"/>
                <w:szCs w:val="21"/>
              </w:rPr>
              <w:t>⑧</w:t>
            </w:r>
            <w:r>
              <w:rPr>
                <w:rFonts w:hint="eastAsia"/>
                <w:szCs w:val="21"/>
              </w:rPr>
              <w:t>实验台每侧留3个工作区域；</w:t>
            </w:r>
          </w:p>
          <w:p>
            <w:pPr>
              <w:widowControl/>
              <w:adjustRightInd w:val="0"/>
              <w:snapToGrid w:val="0"/>
              <w:spacing w:line="360" w:lineRule="auto"/>
              <w:jc w:val="left"/>
              <w:textAlignment w:val="center"/>
              <w:rPr>
                <w:szCs w:val="21"/>
              </w:rPr>
            </w:pPr>
            <w:r>
              <w:rPr>
                <w:rFonts w:hint="eastAsia" w:cs="宋体"/>
                <w:szCs w:val="21"/>
              </w:rPr>
              <w:t>⑨</w:t>
            </w:r>
            <w:r>
              <w:rPr>
                <w:rFonts w:hint="eastAsia"/>
                <w:szCs w:val="21"/>
              </w:rPr>
              <w:t>颜色：</w:t>
            </w:r>
            <w:r>
              <w:rPr>
                <w:szCs w:val="21"/>
              </w:rPr>
              <w:t>整体</w:t>
            </w:r>
            <w:r>
              <w:rPr>
                <w:rFonts w:hint="eastAsia"/>
                <w:szCs w:val="21"/>
              </w:rPr>
              <w:t>要求为</w:t>
            </w:r>
            <w:r>
              <w:rPr>
                <w:szCs w:val="21"/>
              </w:rPr>
              <w:t>浅色系</w:t>
            </w:r>
            <w:r>
              <w:rPr>
                <w:rFonts w:hint="eastAsia"/>
                <w:szCs w:val="21"/>
              </w:rPr>
              <w:t>，</w:t>
            </w:r>
            <w:r>
              <w:rPr>
                <w:szCs w:val="21"/>
              </w:rPr>
              <w:t>包括台面，如奶油色、象牙色、乳白色等</w:t>
            </w:r>
            <w:r>
              <w:rPr>
                <w:rFonts w:hint="eastAsia"/>
                <w:szCs w:val="21"/>
              </w:rPr>
              <w:t>；</w:t>
            </w:r>
          </w:p>
          <w:p>
            <w:pPr>
              <w:widowControl/>
              <w:adjustRightInd w:val="0"/>
              <w:snapToGrid w:val="0"/>
              <w:spacing w:line="360" w:lineRule="auto"/>
              <w:jc w:val="left"/>
              <w:textAlignment w:val="center"/>
              <w:rPr>
                <w:rFonts w:ascii="宋体" w:hAnsi="宋体" w:cs="宋体"/>
                <w:color w:val="000000"/>
                <w:szCs w:val="21"/>
              </w:rPr>
            </w:pPr>
            <w:r>
              <w:rPr>
                <w:rFonts w:hint="eastAsia"/>
                <w:szCs w:val="21"/>
              </w:rPr>
              <w:t>⑩</w:t>
            </w:r>
            <w:r>
              <w:rPr>
                <w:rFonts w:cs="宋体"/>
                <w:color w:val="000000"/>
                <w:kern w:val="0"/>
                <w:szCs w:val="21"/>
              </w:rPr>
              <w:t>所</w:t>
            </w:r>
            <w:r>
              <w:rPr>
                <w:rFonts w:hint="eastAsia" w:cs="宋体"/>
                <w:color w:val="000000"/>
                <w:kern w:val="0"/>
                <w:szCs w:val="21"/>
              </w:rPr>
              <w:t>有</w:t>
            </w:r>
            <w:r>
              <w:rPr>
                <w:rFonts w:hint="eastAsia"/>
                <w:szCs w:val="21"/>
              </w:rPr>
              <w:t>实验台水斗台</w:t>
            </w:r>
            <w:r>
              <w:rPr>
                <w:szCs w:val="21"/>
              </w:rPr>
              <w:t>各项性能指标需符合GB24820</w:t>
            </w:r>
            <w:r>
              <w:rPr>
                <w:rFonts w:hint="eastAsia"/>
                <w:szCs w:val="21"/>
              </w:rPr>
              <w:t>-2009实验室家具通用技术条件。所有板材甲醛含量需符合国家标准。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kern w:val="0"/>
                <w:szCs w:val="21"/>
              </w:rPr>
              <w:t>中央实验台试剂架</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2台</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60" w:lineRule="auto"/>
              <w:jc w:val="left"/>
              <w:rPr>
                <w:rFonts w:ascii="宋体" w:hAnsi="宋体" w:cs="宋体"/>
                <w:kern w:val="0"/>
                <w:szCs w:val="21"/>
              </w:rPr>
            </w:pPr>
            <w:r>
              <w:rPr>
                <w:rFonts w:hint="eastAsia" w:ascii="宋体" w:hAnsi="宋体" w:cs="宋体"/>
                <w:kern w:val="0"/>
                <w:szCs w:val="21"/>
              </w:rPr>
              <w:t>尺寸：4600*350*700mm</w:t>
            </w:r>
          </w:p>
          <w:p>
            <w:pPr>
              <w:adjustRightInd w:val="0"/>
              <w:snapToGrid w:val="0"/>
              <w:spacing w:line="360" w:lineRule="auto"/>
              <w:jc w:val="left"/>
              <w:rPr>
                <w:rFonts w:ascii="宋体" w:hAnsi="宋体" w:cs="宋体"/>
                <w:szCs w:val="21"/>
              </w:rPr>
            </w:pPr>
            <w:r>
              <w:rPr>
                <w:rFonts w:hint="eastAsia" w:ascii="宋体" w:hAnsi="宋体" w:cs="宋体"/>
                <w:szCs w:val="21"/>
              </w:rPr>
              <w:t>①主体结构：钢玻结构；</w:t>
            </w:r>
          </w:p>
          <w:p>
            <w:pPr>
              <w:adjustRightInd w:val="0"/>
              <w:snapToGrid w:val="0"/>
              <w:spacing w:line="360" w:lineRule="auto"/>
              <w:jc w:val="left"/>
              <w:rPr>
                <w:rFonts w:ascii="宋体" w:hAnsi="宋体" w:cs="宋体"/>
                <w:szCs w:val="21"/>
              </w:rPr>
            </w:pPr>
            <w:r>
              <w:rPr>
                <w:rFonts w:hint="eastAsia" w:ascii="宋体" w:hAnsi="宋体" w:cs="宋体"/>
                <w:szCs w:val="21"/>
              </w:rPr>
              <w:t>②试剂架支架：镀锌钢板，外表喷环氧树脂漆，</w:t>
            </w:r>
            <w:r>
              <w:rPr>
                <w:rFonts w:hint="eastAsia" w:ascii="宋体" w:hAnsi="宋体"/>
                <w:color w:val="000000"/>
                <w:szCs w:val="21"/>
              </w:rPr>
              <w:t>耐酸碱、防腐蚀</w:t>
            </w:r>
            <w:r>
              <w:rPr>
                <w:rFonts w:hint="eastAsia" w:ascii="宋体" w:hAnsi="宋体" w:cs="宋体"/>
                <w:szCs w:val="21"/>
              </w:rPr>
              <w:t>。</w:t>
            </w:r>
          </w:p>
          <w:p>
            <w:pPr>
              <w:adjustRightInd w:val="0"/>
              <w:snapToGrid w:val="0"/>
              <w:spacing w:line="360" w:lineRule="auto"/>
              <w:jc w:val="left"/>
              <w:rPr>
                <w:rFonts w:ascii="宋体" w:hAnsi="宋体" w:cs="宋体"/>
                <w:szCs w:val="21"/>
              </w:rPr>
            </w:pPr>
            <w:r>
              <w:rPr>
                <w:rFonts w:hint="eastAsia" w:ascii="宋体" w:hAnsi="宋体" w:cs="宋体"/>
                <w:szCs w:val="21"/>
              </w:rPr>
              <w:t>③搁板：8mm钢化玻璃，承重性要好。</w:t>
            </w:r>
          </w:p>
          <w:p>
            <w:pPr>
              <w:adjustRightInd w:val="0"/>
              <w:snapToGrid w:val="0"/>
              <w:spacing w:line="360" w:lineRule="auto"/>
              <w:jc w:val="left"/>
              <w:rPr>
                <w:rFonts w:cs="宋体"/>
                <w:szCs w:val="21"/>
              </w:rPr>
            </w:pPr>
            <w:r>
              <w:rPr>
                <w:rFonts w:hint="eastAsia" w:cs="宋体"/>
                <w:szCs w:val="21"/>
              </w:rPr>
              <w:t>④照明：最下层层板下方安装钢制灯罩，内部安装T5灯管。</w:t>
            </w:r>
          </w:p>
          <w:p>
            <w:pPr>
              <w:adjustRightInd w:val="0"/>
              <w:snapToGrid w:val="0"/>
              <w:spacing w:line="360" w:lineRule="auto"/>
              <w:jc w:val="left"/>
              <w:rPr>
                <w:rFonts w:ascii="宋体" w:hAnsi="宋体" w:cs="宋体"/>
                <w:color w:val="000000"/>
                <w:szCs w:val="21"/>
              </w:rPr>
            </w:pPr>
            <w:r>
              <w:rPr>
                <w:rFonts w:hint="eastAsia" w:ascii="宋体" w:hAnsi="宋体" w:cs="宋体"/>
                <w:szCs w:val="21"/>
              </w:rPr>
              <w:t>⑤插座：采用防溅万用插座。</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边台实验台（415实验室南边靠墙）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1台</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color w:val="FF0000"/>
                <w:kern w:val="0"/>
                <w:szCs w:val="21"/>
              </w:rPr>
            </w:pPr>
            <w:r>
              <w:rPr>
                <w:rFonts w:hint="eastAsia" w:ascii="宋体" w:hAnsi="宋体" w:cs="宋体"/>
                <w:color w:val="000000"/>
                <w:kern w:val="0"/>
                <w:szCs w:val="21"/>
              </w:rPr>
              <w:t>尺寸：5200*750*800</w:t>
            </w:r>
            <w:r>
              <w:rPr>
                <w:rFonts w:hint="eastAsia" w:ascii="宋体" w:hAnsi="宋体" w:cs="宋体"/>
                <w:kern w:val="0"/>
                <w:szCs w:val="21"/>
              </w:rPr>
              <w:t>mm</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①</w:t>
            </w:r>
            <w:r>
              <w:rPr>
                <w:rFonts w:cs="宋体"/>
                <w:color w:val="000000"/>
                <w:kern w:val="0"/>
                <w:szCs w:val="21"/>
              </w:rPr>
              <w:t>台面：使用≥12.7mm厚实芯理化板台面，</w:t>
            </w:r>
            <w:r>
              <w:rPr>
                <w:color w:val="000000"/>
                <w:szCs w:val="21"/>
              </w:rPr>
              <w:t>四周边缘加厚处理，</w:t>
            </w:r>
            <w:r>
              <w:rPr>
                <w:rFonts w:cs="宋体"/>
                <w:color w:val="000000"/>
                <w:kern w:val="0"/>
                <w:szCs w:val="21"/>
              </w:rPr>
              <w:t>加厚边</w:t>
            </w:r>
            <w:r>
              <w:rPr>
                <w:rFonts w:hint="eastAsia" w:cs="宋体"/>
                <w:color w:val="000000"/>
                <w:kern w:val="0"/>
                <w:szCs w:val="21"/>
              </w:rPr>
              <w:t>不小于</w:t>
            </w:r>
            <w:r>
              <w:rPr>
                <w:rFonts w:cs="宋体"/>
                <w:color w:val="000000"/>
                <w:kern w:val="0"/>
                <w:szCs w:val="21"/>
              </w:rPr>
              <w:t>26mm，</w:t>
            </w:r>
            <w:r>
              <w:rPr>
                <w:color w:val="000000"/>
                <w:szCs w:val="21"/>
              </w:rPr>
              <w:t>下面配有滴水线</w:t>
            </w:r>
            <w:r>
              <w:rPr>
                <w:rFonts w:hint="eastAsia"/>
                <w:color w:val="000000"/>
                <w:szCs w:val="21"/>
              </w:rPr>
              <w:t>。</w:t>
            </w:r>
            <w:r>
              <w:rPr>
                <w:rFonts w:hint="eastAsia" w:cs="宋体"/>
                <w:color w:val="000000"/>
                <w:kern w:val="0"/>
                <w:szCs w:val="21"/>
              </w:rPr>
              <w:t>台面接缝放在合理位置，并作密封</w:t>
            </w:r>
            <w:r>
              <w:rPr>
                <w:color w:val="000000"/>
                <w:szCs w:val="21"/>
              </w:rPr>
              <w:t>处理，</w:t>
            </w:r>
            <w:r>
              <w:rPr>
                <w:rFonts w:hint="eastAsia"/>
                <w:color w:val="000000"/>
                <w:szCs w:val="21"/>
              </w:rPr>
              <w:t>且</w:t>
            </w:r>
            <w:r>
              <w:rPr>
                <w:color w:val="000000"/>
                <w:szCs w:val="21"/>
              </w:rPr>
              <w:t>下方开有防止渗流槽</w:t>
            </w:r>
            <w:r>
              <w:rPr>
                <w:rFonts w:hint="eastAsia"/>
                <w:color w:val="000000"/>
                <w:szCs w:val="21"/>
              </w:rPr>
              <w:t>等</w:t>
            </w:r>
            <w:r>
              <w:rPr>
                <w:color w:val="000000"/>
                <w:szCs w:val="21"/>
              </w:rPr>
              <w:t>结构，</w:t>
            </w:r>
            <w:r>
              <w:rPr>
                <w:rFonts w:hint="eastAsia" w:cs="宋体"/>
                <w:color w:val="000000"/>
                <w:kern w:val="0"/>
                <w:szCs w:val="21"/>
              </w:rPr>
              <w:t>须</w:t>
            </w:r>
            <w:r>
              <w:rPr>
                <w:rFonts w:cs="宋体"/>
                <w:color w:val="000000"/>
                <w:kern w:val="0"/>
                <w:szCs w:val="21"/>
              </w:rPr>
              <w:t>耐酸碱、耐冲击、美观实用。</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②</w:t>
            </w:r>
            <w:r>
              <w:rPr>
                <w:rFonts w:cs="宋体"/>
                <w:color w:val="000000"/>
                <w:kern w:val="0"/>
                <w:szCs w:val="21"/>
              </w:rPr>
              <w:t>钢架：不小于40mm*60mm，钢材厚度不小于1.2mm，满缝焊接，连接处一体成型，专用连接件连接；表面须经过严格特殊处理，耐酸碱腐蚀，抗氧化，每平米承重不小于400kg。</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③</w:t>
            </w:r>
            <w:r>
              <w:rPr>
                <w:rFonts w:cs="宋体"/>
                <w:color w:val="000000"/>
                <w:kern w:val="0"/>
                <w:szCs w:val="21"/>
              </w:rPr>
              <w:t>柜体: 至少16mm厚优质E1级三聚氰胺板，</w:t>
            </w:r>
            <w:r>
              <w:rPr>
                <w:rFonts w:hint="eastAsia" w:cs="宋体"/>
                <w:color w:val="000000"/>
                <w:kern w:val="0"/>
                <w:szCs w:val="21"/>
              </w:rPr>
              <w:t>须</w:t>
            </w:r>
            <w:r>
              <w:rPr>
                <w:rFonts w:cs="宋体"/>
                <w:color w:val="000000"/>
                <w:kern w:val="0"/>
                <w:szCs w:val="21"/>
              </w:rPr>
              <w:t>经过防腐</w:t>
            </w:r>
            <w:r>
              <w:rPr>
                <w:rFonts w:hint="eastAsia" w:cs="宋体"/>
                <w:color w:val="000000"/>
                <w:kern w:val="0"/>
                <w:szCs w:val="21"/>
              </w:rPr>
              <w:t>、</w:t>
            </w:r>
            <w:r>
              <w:rPr>
                <w:rFonts w:cs="宋体"/>
                <w:color w:val="000000"/>
                <w:kern w:val="0"/>
                <w:szCs w:val="21"/>
              </w:rPr>
              <w:t>防虫</w:t>
            </w:r>
            <w:r>
              <w:rPr>
                <w:rFonts w:hint="eastAsia" w:cs="宋体"/>
                <w:color w:val="000000"/>
                <w:kern w:val="0"/>
                <w:szCs w:val="21"/>
              </w:rPr>
              <w:t>、</w:t>
            </w:r>
            <w:r>
              <w:rPr>
                <w:rFonts w:cs="宋体"/>
                <w:color w:val="000000"/>
                <w:kern w:val="0"/>
                <w:szCs w:val="21"/>
              </w:rPr>
              <w:t>防潮处理。所有断面</w:t>
            </w:r>
            <w:r>
              <w:rPr>
                <w:rFonts w:hint="eastAsia" w:cs="宋体"/>
                <w:color w:val="000000"/>
                <w:kern w:val="0"/>
                <w:szCs w:val="21"/>
              </w:rPr>
              <w:t>须</w:t>
            </w:r>
            <w:r>
              <w:rPr>
                <w:rFonts w:cs="宋体"/>
                <w:color w:val="000000"/>
                <w:kern w:val="0"/>
                <w:szCs w:val="21"/>
              </w:rPr>
              <w:t>经2mm厚 PVC封边条配胶热熔防水封边处理；要求不翘不裂、耐潮耐热、质地结实、表面平整、耐承重、有一定的强度。柜体内设</w:t>
            </w:r>
            <w:r>
              <w:rPr>
                <w:rFonts w:hint="eastAsia" w:cs="宋体"/>
                <w:color w:val="000000"/>
                <w:kern w:val="0"/>
                <w:szCs w:val="21"/>
              </w:rPr>
              <w:t>1</w:t>
            </w:r>
            <w:r>
              <w:rPr>
                <w:rFonts w:cs="宋体"/>
                <w:color w:val="000000"/>
                <w:kern w:val="0"/>
                <w:szCs w:val="21"/>
              </w:rPr>
              <w:t>层活动隔板，</w:t>
            </w:r>
            <w:r>
              <w:rPr>
                <w:color w:val="000000"/>
                <w:szCs w:val="21"/>
              </w:rPr>
              <w:t>在有水管、电线连接的部位</w:t>
            </w:r>
            <w:r>
              <w:rPr>
                <w:rFonts w:cs="宋体"/>
                <w:color w:val="000000"/>
                <w:kern w:val="0"/>
                <w:szCs w:val="21"/>
              </w:rPr>
              <w:t>，背板设活动挡板，以方便维修。</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④</w:t>
            </w:r>
            <w:r>
              <w:rPr>
                <w:rFonts w:cs="宋体"/>
                <w:color w:val="000000"/>
                <w:kern w:val="0"/>
                <w:szCs w:val="21"/>
              </w:rPr>
              <w:t>柜门、抽屉面板</w:t>
            </w:r>
            <w:r>
              <w:rPr>
                <w:rFonts w:hint="eastAsia" w:cs="宋体"/>
                <w:color w:val="000000"/>
                <w:kern w:val="0"/>
                <w:szCs w:val="21"/>
              </w:rPr>
              <w:t>、</w:t>
            </w:r>
            <w:r>
              <w:rPr>
                <w:rFonts w:cs="宋体"/>
                <w:color w:val="000000"/>
                <w:kern w:val="0"/>
                <w:szCs w:val="21"/>
              </w:rPr>
              <w:t>背板：至少16mm厚优质E1级三聚氰胺板，经过防腐防虫防潮处理。所有断面经2mm厚 PVC封边条配胶热熔防水封边处理；要求不翘不裂、耐潮耐热、质地结实、表面平整、耐承重、有一定的强度。</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⑤</w:t>
            </w:r>
            <w:r>
              <w:rPr>
                <w:rFonts w:cs="宋体"/>
                <w:color w:val="000000"/>
                <w:kern w:val="0"/>
                <w:szCs w:val="21"/>
              </w:rPr>
              <w:t>活动层板：至少16mm厚优质E1级三聚氰胺板，所有断面</w:t>
            </w:r>
            <w:r>
              <w:rPr>
                <w:rFonts w:hint="eastAsia" w:cs="宋体"/>
                <w:color w:val="000000"/>
                <w:kern w:val="0"/>
                <w:szCs w:val="21"/>
              </w:rPr>
              <w:t>须</w:t>
            </w:r>
            <w:r>
              <w:rPr>
                <w:rFonts w:cs="宋体"/>
                <w:color w:val="000000"/>
                <w:kern w:val="0"/>
                <w:szCs w:val="21"/>
              </w:rPr>
              <w:t>经PVC封边条配胶热熔防水封边处理，可根据需要自由拆装，四边倒角圆滑处理。</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⑥</w:t>
            </w:r>
            <w:r>
              <w:rPr>
                <w:rFonts w:cs="宋体"/>
                <w:color w:val="000000"/>
                <w:kern w:val="0"/>
                <w:szCs w:val="21"/>
              </w:rPr>
              <w:t>滑轨、铰链等金属配件需符合相应国家标准。</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⑦</w:t>
            </w:r>
            <w:r>
              <w:rPr>
                <w:rFonts w:cs="宋体"/>
                <w:color w:val="000000"/>
                <w:kern w:val="0"/>
                <w:szCs w:val="21"/>
              </w:rPr>
              <w:t>可调脚：</w:t>
            </w:r>
            <w:r>
              <w:rPr>
                <w:color w:val="000000"/>
                <w:szCs w:val="21"/>
              </w:rPr>
              <w:t>钢制可调地脚</w:t>
            </w:r>
            <w:r>
              <w:rPr>
                <w:rFonts w:cs="宋体"/>
                <w:color w:val="000000"/>
                <w:kern w:val="0"/>
                <w:szCs w:val="21"/>
              </w:rPr>
              <w:t>可调整柜体高度0-30mm, 具有防震效果。</w:t>
            </w:r>
          </w:p>
          <w:p>
            <w:pPr>
              <w:widowControl/>
              <w:adjustRightInd w:val="0"/>
              <w:snapToGrid w:val="0"/>
              <w:spacing w:line="360" w:lineRule="auto"/>
              <w:jc w:val="left"/>
              <w:textAlignment w:val="center"/>
              <w:rPr>
                <w:szCs w:val="21"/>
              </w:rPr>
            </w:pPr>
            <w:r>
              <w:rPr>
                <w:rFonts w:hint="eastAsia" w:ascii="宋体" w:hAnsi="宋体" w:cs="宋体"/>
                <w:color w:val="000000"/>
                <w:kern w:val="0"/>
                <w:szCs w:val="21"/>
              </w:rPr>
              <w:t>⑧</w:t>
            </w:r>
            <w:r>
              <w:rPr>
                <w:rFonts w:hint="eastAsia"/>
                <w:szCs w:val="21"/>
              </w:rPr>
              <w:t>留适当工作区域；</w:t>
            </w:r>
          </w:p>
          <w:p>
            <w:pPr>
              <w:widowControl/>
              <w:adjustRightInd w:val="0"/>
              <w:snapToGrid w:val="0"/>
              <w:spacing w:line="360" w:lineRule="auto"/>
              <w:jc w:val="left"/>
              <w:textAlignment w:val="center"/>
              <w:rPr>
                <w:szCs w:val="21"/>
              </w:rPr>
            </w:pPr>
            <w:r>
              <w:rPr>
                <w:rFonts w:hint="eastAsia" w:cs="宋体"/>
                <w:szCs w:val="21"/>
              </w:rPr>
              <w:t>⑨</w:t>
            </w:r>
            <w:r>
              <w:rPr>
                <w:rFonts w:hint="eastAsia"/>
                <w:szCs w:val="21"/>
              </w:rPr>
              <w:t>颜色：</w:t>
            </w:r>
            <w:r>
              <w:rPr>
                <w:szCs w:val="21"/>
              </w:rPr>
              <w:t>整体</w:t>
            </w:r>
            <w:r>
              <w:rPr>
                <w:rFonts w:hint="eastAsia"/>
                <w:szCs w:val="21"/>
              </w:rPr>
              <w:t>要求为</w:t>
            </w:r>
            <w:r>
              <w:rPr>
                <w:szCs w:val="21"/>
              </w:rPr>
              <w:t>浅色系</w:t>
            </w:r>
            <w:r>
              <w:rPr>
                <w:rFonts w:hint="eastAsia"/>
                <w:szCs w:val="21"/>
              </w:rPr>
              <w:t>，</w:t>
            </w:r>
            <w:r>
              <w:rPr>
                <w:szCs w:val="21"/>
              </w:rPr>
              <w:t>包括台面，如奶油色、象牙色、乳白色等</w:t>
            </w:r>
            <w:r>
              <w:rPr>
                <w:rFonts w:hint="eastAsia"/>
                <w:szCs w:val="21"/>
              </w:rPr>
              <w:t>；</w:t>
            </w:r>
          </w:p>
          <w:p>
            <w:pPr>
              <w:widowControl/>
              <w:adjustRightInd w:val="0"/>
              <w:snapToGrid w:val="0"/>
              <w:spacing w:line="360" w:lineRule="auto"/>
              <w:jc w:val="left"/>
              <w:textAlignment w:val="center"/>
              <w:rPr>
                <w:rFonts w:cs="宋体"/>
                <w:color w:val="000000"/>
                <w:kern w:val="0"/>
                <w:szCs w:val="21"/>
              </w:rPr>
            </w:pPr>
            <w:r>
              <w:rPr>
                <w:rFonts w:hint="eastAsia"/>
                <w:szCs w:val="21"/>
              </w:rPr>
              <w:t>⑩实验台</w:t>
            </w:r>
            <w:r>
              <w:rPr>
                <w:szCs w:val="21"/>
              </w:rPr>
              <w:t>各项性能指标需符合GB24820</w:t>
            </w:r>
            <w:r>
              <w:rPr>
                <w:rFonts w:hint="eastAsia"/>
                <w:szCs w:val="21"/>
              </w:rPr>
              <w:t>-2009实验室家具通用技术条件。所有板材甲醛含量需符合国家标准。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边台水斗台（415实验室南边靠墙）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1台</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尺寸：900*750*800mm</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①</w:t>
            </w:r>
            <w:r>
              <w:rPr>
                <w:rFonts w:cs="宋体"/>
                <w:color w:val="000000"/>
                <w:kern w:val="0"/>
                <w:szCs w:val="21"/>
              </w:rPr>
              <w:t>台面：使用≥12.7mm厚实芯理化板台面，</w:t>
            </w:r>
            <w:r>
              <w:rPr>
                <w:color w:val="000000"/>
                <w:szCs w:val="21"/>
              </w:rPr>
              <w:t>四周边缘加厚处理，</w:t>
            </w:r>
            <w:r>
              <w:rPr>
                <w:rFonts w:cs="宋体"/>
                <w:color w:val="000000"/>
                <w:kern w:val="0"/>
                <w:szCs w:val="21"/>
              </w:rPr>
              <w:t>加厚边</w:t>
            </w:r>
            <w:r>
              <w:rPr>
                <w:rFonts w:hint="eastAsia" w:cs="宋体"/>
                <w:color w:val="000000"/>
                <w:kern w:val="0"/>
                <w:szCs w:val="21"/>
              </w:rPr>
              <w:t>不小于</w:t>
            </w:r>
            <w:r>
              <w:rPr>
                <w:rFonts w:cs="宋体"/>
                <w:color w:val="000000"/>
                <w:kern w:val="0"/>
                <w:szCs w:val="21"/>
              </w:rPr>
              <w:t>26mm，</w:t>
            </w:r>
            <w:r>
              <w:rPr>
                <w:color w:val="000000"/>
                <w:szCs w:val="21"/>
              </w:rPr>
              <w:t>下面配有滴水线</w:t>
            </w:r>
            <w:r>
              <w:rPr>
                <w:rFonts w:hint="eastAsia"/>
                <w:color w:val="000000"/>
                <w:szCs w:val="21"/>
              </w:rPr>
              <w:t>。</w:t>
            </w:r>
            <w:r>
              <w:rPr>
                <w:rFonts w:hint="eastAsia" w:cs="宋体"/>
                <w:color w:val="000000"/>
                <w:kern w:val="0"/>
                <w:szCs w:val="21"/>
              </w:rPr>
              <w:t>台面接缝放在合理位置，并作密封</w:t>
            </w:r>
            <w:r>
              <w:rPr>
                <w:color w:val="000000"/>
                <w:szCs w:val="21"/>
              </w:rPr>
              <w:t>处理，</w:t>
            </w:r>
            <w:r>
              <w:rPr>
                <w:rFonts w:hint="eastAsia"/>
                <w:color w:val="000000"/>
                <w:szCs w:val="21"/>
              </w:rPr>
              <w:t>且</w:t>
            </w:r>
            <w:r>
              <w:rPr>
                <w:color w:val="000000"/>
                <w:szCs w:val="21"/>
              </w:rPr>
              <w:t>下方开有防止渗流槽</w:t>
            </w:r>
            <w:r>
              <w:rPr>
                <w:rFonts w:hint="eastAsia"/>
                <w:color w:val="000000"/>
                <w:szCs w:val="21"/>
              </w:rPr>
              <w:t>等</w:t>
            </w:r>
            <w:r>
              <w:rPr>
                <w:color w:val="000000"/>
                <w:szCs w:val="21"/>
              </w:rPr>
              <w:t>结构，</w:t>
            </w:r>
            <w:r>
              <w:rPr>
                <w:rFonts w:hint="eastAsia" w:cs="宋体"/>
                <w:color w:val="000000"/>
                <w:kern w:val="0"/>
                <w:szCs w:val="21"/>
              </w:rPr>
              <w:t>须</w:t>
            </w:r>
            <w:r>
              <w:rPr>
                <w:rFonts w:cs="宋体"/>
                <w:color w:val="000000"/>
                <w:kern w:val="0"/>
                <w:szCs w:val="21"/>
              </w:rPr>
              <w:t>耐酸碱、耐冲击、美观实用。</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②</w:t>
            </w:r>
            <w:r>
              <w:rPr>
                <w:rFonts w:cs="宋体"/>
                <w:color w:val="000000"/>
                <w:kern w:val="0"/>
                <w:szCs w:val="21"/>
              </w:rPr>
              <w:t>钢架：不小于40mm*60mm，钢材厚度不小于1.2mm，满缝焊接，连接处一体成型，专用连接件连接；表面须经过严格特殊处理，耐酸碱腐蚀，抗氧化，每平米承重不小于400kg。</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③</w:t>
            </w:r>
            <w:r>
              <w:rPr>
                <w:rFonts w:cs="宋体"/>
                <w:color w:val="000000"/>
                <w:kern w:val="0"/>
                <w:szCs w:val="21"/>
              </w:rPr>
              <w:t>柜体: 至少16mm厚优质E1级三聚氰胺板，</w:t>
            </w:r>
            <w:r>
              <w:rPr>
                <w:rFonts w:hint="eastAsia" w:cs="宋体"/>
                <w:color w:val="000000"/>
                <w:kern w:val="0"/>
                <w:szCs w:val="21"/>
              </w:rPr>
              <w:t>须</w:t>
            </w:r>
            <w:r>
              <w:rPr>
                <w:rFonts w:cs="宋体"/>
                <w:color w:val="000000"/>
                <w:kern w:val="0"/>
                <w:szCs w:val="21"/>
              </w:rPr>
              <w:t>经过防腐</w:t>
            </w:r>
            <w:r>
              <w:rPr>
                <w:rFonts w:hint="eastAsia" w:cs="宋体"/>
                <w:color w:val="000000"/>
                <w:kern w:val="0"/>
                <w:szCs w:val="21"/>
              </w:rPr>
              <w:t>、</w:t>
            </w:r>
            <w:r>
              <w:rPr>
                <w:rFonts w:cs="宋体"/>
                <w:color w:val="000000"/>
                <w:kern w:val="0"/>
                <w:szCs w:val="21"/>
              </w:rPr>
              <w:t>防虫</w:t>
            </w:r>
            <w:r>
              <w:rPr>
                <w:rFonts w:hint="eastAsia" w:cs="宋体"/>
                <w:color w:val="000000"/>
                <w:kern w:val="0"/>
                <w:szCs w:val="21"/>
              </w:rPr>
              <w:t>、</w:t>
            </w:r>
            <w:r>
              <w:rPr>
                <w:rFonts w:cs="宋体"/>
                <w:color w:val="000000"/>
                <w:kern w:val="0"/>
                <w:szCs w:val="21"/>
              </w:rPr>
              <w:t>防潮处理。所有断面</w:t>
            </w:r>
            <w:r>
              <w:rPr>
                <w:rFonts w:hint="eastAsia" w:cs="宋体"/>
                <w:color w:val="000000"/>
                <w:kern w:val="0"/>
                <w:szCs w:val="21"/>
              </w:rPr>
              <w:t>须</w:t>
            </w:r>
            <w:r>
              <w:rPr>
                <w:rFonts w:cs="宋体"/>
                <w:color w:val="000000"/>
                <w:kern w:val="0"/>
                <w:szCs w:val="21"/>
              </w:rPr>
              <w:t>经2mm厚 PVC封边条配胶热熔防水封边处理；要求不翘不裂、耐潮耐热、质地结实、表面平整、耐承重、有一定的强度。柜体内设</w:t>
            </w:r>
            <w:r>
              <w:rPr>
                <w:rFonts w:hint="eastAsia" w:cs="宋体"/>
                <w:color w:val="000000"/>
                <w:kern w:val="0"/>
                <w:szCs w:val="21"/>
              </w:rPr>
              <w:t>1</w:t>
            </w:r>
            <w:r>
              <w:rPr>
                <w:rFonts w:cs="宋体"/>
                <w:color w:val="000000"/>
                <w:kern w:val="0"/>
                <w:szCs w:val="21"/>
              </w:rPr>
              <w:t>层活动隔板，</w:t>
            </w:r>
            <w:r>
              <w:rPr>
                <w:color w:val="000000"/>
                <w:szCs w:val="21"/>
              </w:rPr>
              <w:t>在有水管、电线连接的部位</w:t>
            </w:r>
            <w:r>
              <w:rPr>
                <w:rFonts w:cs="宋体"/>
                <w:color w:val="000000"/>
                <w:kern w:val="0"/>
                <w:szCs w:val="21"/>
              </w:rPr>
              <w:t>，背板设活动挡板，以方便维修。</w:t>
            </w:r>
          </w:p>
          <w:p>
            <w:pPr>
              <w:widowControl/>
              <w:adjustRightInd w:val="0"/>
              <w:snapToGrid w:val="0"/>
              <w:spacing w:line="360" w:lineRule="auto"/>
              <w:jc w:val="left"/>
              <w:textAlignment w:val="center"/>
              <w:rPr>
                <w:szCs w:val="21"/>
              </w:rPr>
            </w:pPr>
            <w:r>
              <w:rPr>
                <w:rFonts w:hint="eastAsia" w:ascii="宋体" w:hAnsi="宋体" w:cs="宋体"/>
                <w:color w:val="000000"/>
                <w:kern w:val="0"/>
                <w:szCs w:val="21"/>
              </w:rPr>
              <w:t>④</w:t>
            </w:r>
            <w:r>
              <w:rPr>
                <w:rFonts w:cs="宋体"/>
                <w:color w:val="000000"/>
                <w:kern w:val="0"/>
                <w:szCs w:val="21"/>
              </w:rPr>
              <w:t>柜门、抽屉面板</w:t>
            </w:r>
            <w:r>
              <w:rPr>
                <w:rFonts w:hint="eastAsia" w:cs="宋体"/>
                <w:color w:val="000000"/>
                <w:kern w:val="0"/>
                <w:szCs w:val="21"/>
              </w:rPr>
              <w:t>、</w:t>
            </w:r>
            <w:r>
              <w:rPr>
                <w:rFonts w:cs="宋体"/>
                <w:color w:val="000000"/>
                <w:kern w:val="0"/>
                <w:szCs w:val="21"/>
              </w:rPr>
              <w:t>背板：至少16mm厚优质E1级三聚氰胺板，经过防腐防虫防潮处理。所有断面经2mm厚 PVC封边条配胶热熔防水封边处</w:t>
            </w:r>
            <w:r>
              <w:rPr>
                <w:szCs w:val="21"/>
              </w:rPr>
              <w:t>理；要求不翘不裂、耐潮耐热、质地结实、表面平整、耐承重、有一定的强度。</w:t>
            </w:r>
          </w:p>
          <w:p>
            <w:pPr>
              <w:widowControl/>
              <w:adjustRightInd w:val="0"/>
              <w:snapToGrid w:val="0"/>
              <w:spacing w:line="360" w:lineRule="auto"/>
              <w:jc w:val="left"/>
              <w:textAlignment w:val="center"/>
              <w:rPr>
                <w:szCs w:val="21"/>
              </w:rPr>
            </w:pPr>
            <w:r>
              <w:rPr>
                <w:rFonts w:hint="eastAsia"/>
                <w:szCs w:val="21"/>
              </w:rPr>
              <w:t>⑤</w:t>
            </w:r>
            <w:r>
              <w:rPr>
                <w:szCs w:val="21"/>
              </w:rPr>
              <w:t>活动层板：至少16mm厚优质E1级三聚氰胺板，所有断面</w:t>
            </w:r>
            <w:r>
              <w:rPr>
                <w:rFonts w:hint="eastAsia"/>
                <w:szCs w:val="21"/>
              </w:rPr>
              <w:t>须</w:t>
            </w:r>
            <w:r>
              <w:rPr>
                <w:szCs w:val="21"/>
              </w:rPr>
              <w:t>经PVC封边条配胶热熔防水封边处理，可根据需要自由拆装，四边倒角圆滑处理。</w:t>
            </w:r>
          </w:p>
          <w:p>
            <w:pPr>
              <w:widowControl/>
              <w:adjustRightInd w:val="0"/>
              <w:snapToGrid w:val="0"/>
              <w:spacing w:line="360" w:lineRule="auto"/>
              <w:jc w:val="left"/>
              <w:textAlignment w:val="center"/>
              <w:rPr>
                <w:szCs w:val="21"/>
              </w:rPr>
            </w:pPr>
            <w:r>
              <w:rPr>
                <w:rFonts w:hint="eastAsia"/>
                <w:szCs w:val="21"/>
              </w:rPr>
              <w:t>⑥</w:t>
            </w:r>
            <w:r>
              <w:rPr>
                <w:szCs w:val="21"/>
              </w:rPr>
              <w:t>可调脚：钢制可调地脚可调整柜体高度0-30mm, 具有防震效果。</w:t>
            </w:r>
          </w:p>
          <w:p>
            <w:pPr>
              <w:widowControl/>
              <w:adjustRightInd w:val="0"/>
              <w:snapToGrid w:val="0"/>
              <w:spacing w:line="360" w:lineRule="auto"/>
              <w:jc w:val="left"/>
              <w:textAlignment w:val="center"/>
              <w:rPr>
                <w:szCs w:val="21"/>
              </w:rPr>
            </w:pPr>
            <w:r>
              <w:rPr>
                <w:rFonts w:hint="eastAsia"/>
                <w:szCs w:val="21"/>
              </w:rPr>
              <w:t>⑦实验台每侧留3个工作区域。</w:t>
            </w:r>
          </w:p>
          <w:p>
            <w:pPr>
              <w:widowControl/>
              <w:adjustRightInd w:val="0"/>
              <w:snapToGrid w:val="0"/>
              <w:spacing w:line="360" w:lineRule="auto"/>
              <w:jc w:val="left"/>
              <w:textAlignment w:val="center"/>
              <w:rPr>
                <w:szCs w:val="21"/>
              </w:rPr>
            </w:pPr>
            <w:r>
              <w:rPr>
                <w:rFonts w:hint="eastAsia" w:ascii="宋体" w:hAnsi="宋体" w:cs="宋体"/>
                <w:color w:val="000000"/>
                <w:kern w:val="0"/>
                <w:szCs w:val="21"/>
              </w:rPr>
              <w:t>⑧</w:t>
            </w:r>
            <w:r>
              <w:rPr>
                <w:rFonts w:hint="eastAsia"/>
                <w:szCs w:val="21"/>
              </w:rPr>
              <w:t>颜色：</w:t>
            </w:r>
            <w:r>
              <w:rPr>
                <w:szCs w:val="21"/>
              </w:rPr>
              <w:t>整体</w:t>
            </w:r>
            <w:r>
              <w:rPr>
                <w:rFonts w:hint="eastAsia"/>
                <w:szCs w:val="21"/>
              </w:rPr>
              <w:t>要求为</w:t>
            </w:r>
            <w:r>
              <w:rPr>
                <w:szCs w:val="21"/>
              </w:rPr>
              <w:t>浅色系</w:t>
            </w:r>
            <w:r>
              <w:rPr>
                <w:rFonts w:hint="eastAsia"/>
                <w:szCs w:val="21"/>
              </w:rPr>
              <w:t>，</w:t>
            </w:r>
            <w:r>
              <w:rPr>
                <w:szCs w:val="21"/>
              </w:rPr>
              <w:t>包括台面，如奶油色、象牙色、乳白色等</w:t>
            </w:r>
            <w:r>
              <w:rPr>
                <w:rFonts w:hint="eastAsia"/>
                <w:szCs w:val="21"/>
              </w:rPr>
              <w:t>。</w:t>
            </w:r>
          </w:p>
          <w:p>
            <w:pPr>
              <w:widowControl/>
              <w:adjustRightInd w:val="0"/>
              <w:snapToGrid w:val="0"/>
              <w:spacing w:line="360" w:lineRule="auto"/>
              <w:jc w:val="left"/>
              <w:textAlignment w:val="center"/>
              <w:rPr>
                <w:rFonts w:ascii="宋体" w:hAnsi="宋体" w:cs="宋体"/>
                <w:color w:val="FF0000"/>
                <w:szCs w:val="21"/>
              </w:rPr>
            </w:pPr>
            <w:r>
              <w:rPr>
                <w:rFonts w:hint="eastAsia" w:cs="宋体"/>
                <w:szCs w:val="21"/>
              </w:rPr>
              <w:t>⑨</w:t>
            </w:r>
            <w:r>
              <w:rPr>
                <w:rFonts w:hint="eastAsia"/>
                <w:szCs w:val="21"/>
              </w:rPr>
              <w:t>实验台水斗台</w:t>
            </w:r>
            <w:r>
              <w:rPr>
                <w:szCs w:val="21"/>
              </w:rPr>
              <w:t>各项性能指标需符合GB24820</w:t>
            </w:r>
            <w:r>
              <w:rPr>
                <w:rFonts w:hint="eastAsia"/>
                <w:szCs w:val="21"/>
              </w:rPr>
              <w:t>-2009实验室家具通用技术条件。所有板材甲醛含量需符合国家标准。</w:t>
            </w:r>
            <w:r>
              <w:rPr>
                <w:rFonts w:hint="eastAsia" w:ascii="宋体" w:hAnsi="宋体" w:cs="宋体"/>
                <w:color w:val="FF0000"/>
                <w:kern w:val="0"/>
                <w:szCs w:val="21"/>
              </w:rPr>
              <w:t xml:space="preserve">  </w:t>
            </w:r>
          </w:p>
        </w:tc>
      </w:tr>
      <w:tr>
        <w:tblPrEx>
          <w:tblLayout w:type="fixed"/>
          <w:tblCellMar>
            <w:top w:w="0" w:type="dxa"/>
            <w:left w:w="0" w:type="dxa"/>
            <w:bottom w:w="0" w:type="dxa"/>
            <w:right w:w="0" w:type="dxa"/>
          </w:tblCellMar>
        </w:tblPrEx>
        <w:trPr>
          <w:gridAfter w:val="1"/>
          <w:wAfter w:w="14089" w:type="dxa"/>
          <w:trHeight w:val="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中水盆</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kern w:val="0"/>
                <w:szCs w:val="21"/>
              </w:rPr>
              <w:t>5套</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tabs>
                <w:tab w:val="left" w:pos="480"/>
                <w:tab w:val="left" w:pos="1260"/>
              </w:tabs>
              <w:adjustRightInd w:val="0"/>
              <w:snapToGrid w:val="0"/>
              <w:spacing w:after="0" w:line="360" w:lineRule="auto"/>
              <w:jc w:val="left"/>
              <w:rPr>
                <w:rFonts w:ascii="宋体" w:hAnsi="宋体" w:cs="宋体"/>
                <w:szCs w:val="21"/>
              </w:rPr>
            </w:pPr>
            <w:r>
              <w:rPr>
                <w:rFonts w:hint="eastAsia" w:ascii="宋体" w:hAnsi="宋体" w:cs="宋体"/>
                <w:szCs w:val="21"/>
              </w:rPr>
              <w:t>每个中央实验台配2套，边台实验台配1套。</w:t>
            </w:r>
          </w:p>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①颜色：灰；推荐</w:t>
            </w:r>
            <w:r>
              <w:rPr>
                <w:rFonts w:hint="eastAsia" w:ascii="宋体" w:hAnsi="宋体" w:cs="宋体"/>
                <w:szCs w:val="21"/>
              </w:rPr>
              <w:t>品牌为</w:t>
            </w:r>
            <w:r>
              <w:rPr>
                <w:rFonts w:ascii="宋体" w:hAnsi="宋体" w:cs="宋体"/>
                <w:szCs w:val="21"/>
              </w:rPr>
              <w:t>科恩、台雄</w:t>
            </w:r>
            <w:r>
              <w:rPr>
                <w:rFonts w:hint="eastAsia" w:ascii="宋体" w:hAnsi="宋体" w:cs="宋体"/>
                <w:szCs w:val="21"/>
              </w:rPr>
              <w:t>、</w:t>
            </w:r>
            <w:r>
              <w:rPr>
                <w:rFonts w:ascii="宋体" w:hAnsi="宋体" w:cs="宋体"/>
                <w:szCs w:val="21"/>
              </w:rPr>
              <w:t>博朗</w:t>
            </w:r>
            <w:r>
              <w:rPr>
                <w:rFonts w:hint="eastAsia" w:ascii="宋体" w:hAnsi="宋体" w:cs="宋体"/>
                <w:szCs w:val="21"/>
              </w:rPr>
              <w:t>或同档次产品。</w:t>
            </w:r>
          </w:p>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②材质：高密度PP，耐腐蚀、耐酸碱和有机物；稳定性强，并具弹性、韧性，不易老化耐划。</w:t>
            </w:r>
          </w:p>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③厚度：厚度为5mm-8mm。</w:t>
            </w:r>
          </w:p>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④溢水管：防止废水溢出水盆及台面，保障实验室的安全性。</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三联水龙头</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kern w:val="0"/>
                <w:szCs w:val="21"/>
              </w:rPr>
            </w:pPr>
            <w:r>
              <w:rPr>
                <w:rFonts w:hint="eastAsia" w:ascii="宋体" w:hAnsi="宋体" w:cs="宋体"/>
                <w:color w:val="000000"/>
                <w:kern w:val="0"/>
                <w:szCs w:val="21"/>
              </w:rPr>
              <w:t>5套</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tabs>
                <w:tab w:val="left" w:pos="480"/>
                <w:tab w:val="left" w:pos="1260"/>
              </w:tabs>
              <w:adjustRightInd w:val="0"/>
              <w:snapToGrid w:val="0"/>
              <w:spacing w:after="0" w:line="360" w:lineRule="auto"/>
              <w:jc w:val="left"/>
              <w:rPr>
                <w:rFonts w:ascii="宋体" w:hAnsi="宋体" w:cs="宋体"/>
                <w:szCs w:val="21"/>
              </w:rPr>
            </w:pPr>
            <w:r>
              <w:rPr>
                <w:rFonts w:hint="eastAsia" w:ascii="宋体" w:hAnsi="宋体" w:cs="宋体"/>
                <w:szCs w:val="21"/>
              </w:rPr>
              <w:t>每个中央实验台配2套，边台实验台配1套。</w:t>
            </w:r>
          </w:p>
          <w:p>
            <w:pPr>
              <w:pStyle w:val="28"/>
              <w:widowControl/>
              <w:adjustRightInd w:val="0"/>
              <w:snapToGrid w:val="0"/>
              <w:spacing w:line="360" w:lineRule="auto"/>
              <w:ind w:firstLine="0" w:firstLineChars="0"/>
              <w:jc w:val="left"/>
              <w:textAlignment w:val="center"/>
              <w:rPr>
                <w:rFonts w:ascii="宋体" w:hAnsi="宋体" w:cs="宋体"/>
                <w:color w:val="000000"/>
                <w:kern w:val="0"/>
                <w:szCs w:val="21"/>
              </w:rPr>
            </w:pPr>
            <w:r>
              <w:rPr>
                <w:rFonts w:ascii="Calibri" w:hAnsi="Calibri" w:cs="Calibri"/>
                <w:color w:val="000000"/>
                <w:kern w:val="0"/>
                <w:szCs w:val="21"/>
              </w:rPr>
              <w:t>①</w:t>
            </w:r>
            <w:r>
              <w:rPr>
                <w:rFonts w:hint="eastAsia" w:ascii="宋体" w:hAnsi="宋体" w:cs="宋体"/>
                <w:color w:val="000000"/>
                <w:kern w:val="0"/>
                <w:szCs w:val="21"/>
              </w:rPr>
              <w:t>三个独立控制的阀门和三个出水口。推荐</w:t>
            </w:r>
            <w:r>
              <w:rPr>
                <w:rFonts w:hint="eastAsia" w:ascii="宋体" w:hAnsi="宋体" w:cs="宋体"/>
                <w:szCs w:val="21"/>
              </w:rPr>
              <w:t>品牌为</w:t>
            </w:r>
            <w:r>
              <w:rPr>
                <w:rFonts w:ascii="宋体" w:hAnsi="宋体" w:cs="宋体"/>
                <w:szCs w:val="21"/>
              </w:rPr>
              <w:t>科恩、台雄</w:t>
            </w:r>
            <w:r>
              <w:rPr>
                <w:rFonts w:hint="eastAsia" w:ascii="宋体" w:hAnsi="宋体" w:cs="宋体"/>
                <w:szCs w:val="21"/>
              </w:rPr>
              <w:t>、</w:t>
            </w:r>
            <w:r>
              <w:rPr>
                <w:rFonts w:ascii="宋体" w:hAnsi="宋体" w:cs="宋体"/>
                <w:szCs w:val="21"/>
              </w:rPr>
              <w:t>博朗</w:t>
            </w:r>
            <w:r>
              <w:rPr>
                <w:rFonts w:hint="eastAsia" w:ascii="宋体" w:hAnsi="宋体" w:cs="宋体"/>
                <w:szCs w:val="21"/>
              </w:rPr>
              <w:t>或同档次产</w:t>
            </w:r>
          </w:p>
          <w:p>
            <w:pPr>
              <w:pStyle w:val="28"/>
              <w:widowControl/>
              <w:adjustRightInd w:val="0"/>
              <w:snapToGrid w:val="0"/>
              <w:spacing w:line="360" w:lineRule="auto"/>
              <w:ind w:firstLine="0" w:firstLineChars="0"/>
              <w:jc w:val="left"/>
              <w:textAlignment w:val="center"/>
              <w:rPr>
                <w:rFonts w:ascii="宋体" w:hAnsi="宋体" w:cs="宋体"/>
                <w:color w:val="000000"/>
                <w:kern w:val="0"/>
                <w:szCs w:val="21"/>
              </w:rPr>
            </w:pPr>
            <w:r>
              <w:rPr>
                <w:rFonts w:hint="eastAsia" w:ascii="宋体" w:hAnsi="宋体" w:cs="宋体"/>
                <w:szCs w:val="21"/>
              </w:rPr>
              <w:t>品。</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②涂层: 高亮度环氧树脂涂层,耐腐蚀、耐热,防紫外线辐射陶瓷阀芯，使用寿命开关50万次。</w:t>
            </w:r>
            <w:r>
              <w:rPr>
                <w:rFonts w:ascii="宋体" w:hAnsi="宋体" w:cs="宋体"/>
                <w:color w:val="000000"/>
                <w:kern w:val="0"/>
                <w:szCs w:val="21"/>
              </w:rPr>
              <w:t xml:space="preserve"> </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 xml:space="preserve">③开关旋钮: 高密度PP。 </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滴水架</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kern w:val="0"/>
                <w:szCs w:val="21"/>
              </w:rPr>
            </w:pPr>
            <w:r>
              <w:rPr>
                <w:rFonts w:hint="eastAsia" w:ascii="宋体" w:hAnsi="宋体" w:cs="宋体"/>
                <w:color w:val="000000"/>
                <w:kern w:val="0"/>
                <w:szCs w:val="21"/>
              </w:rPr>
              <w:t>5套</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tabs>
                <w:tab w:val="left" w:pos="480"/>
                <w:tab w:val="left" w:pos="1260"/>
              </w:tabs>
              <w:adjustRightInd w:val="0"/>
              <w:snapToGrid w:val="0"/>
              <w:spacing w:after="0" w:line="360" w:lineRule="auto"/>
              <w:jc w:val="left"/>
              <w:rPr>
                <w:rFonts w:ascii="宋体" w:hAnsi="宋体" w:cs="宋体"/>
                <w:szCs w:val="21"/>
              </w:rPr>
            </w:pPr>
            <w:r>
              <w:rPr>
                <w:rFonts w:hint="eastAsia" w:ascii="宋体" w:hAnsi="宋体" w:cs="宋体"/>
                <w:szCs w:val="21"/>
              </w:rPr>
              <w:t>每个中央实验台配2套，边台实验台配1套。</w:t>
            </w:r>
          </w:p>
          <w:p>
            <w:pPr>
              <w:pStyle w:val="7"/>
              <w:tabs>
                <w:tab w:val="left" w:pos="480"/>
                <w:tab w:val="left" w:pos="1260"/>
              </w:tabs>
              <w:adjustRightInd w:val="0"/>
              <w:snapToGrid w:val="0"/>
              <w:spacing w:after="0" w:line="360" w:lineRule="auto"/>
              <w:jc w:val="left"/>
              <w:rPr>
                <w:rFonts w:ascii="宋体" w:hAnsi="宋体" w:cs="宋体"/>
                <w:szCs w:val="21"/>
              </w:rPr>
            </w:pPr>
            <w:r>
              <w:rPr>
                <w:rFonts w:hint="eastAsia" w:ascii="宋体" w:hAnsi="宋体" w:cs="宋体"/>
                <w:szCs w:val="21"/>
              </w:rPr>
              <w:t>①滴水棒：∮10mm(±2.5%)；L100</w:t>
            </w:r>
            <w:r>
              <w:rPr>
                <w:szCs w:val="21"/>
              </w:rPr>
              <w:t>~</w:t>
            </w:r>
            <w:r>
              <w:rPr>
                <w:rFonts w:hint="eastAsia" w:ascii="宋体" w:hAnsi="宋体" w:cs="宋体"/>
                <w:szCs w:val="21"/>
              </w:rPr>
              <w:t>200mm。</w:t>
            </w:r>
          </w:p>
          <w:p>
            <w:pPr>
              <w:tabs>
                <w:tab w:val="left" w:pos="1260"/>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②材质：滴水架主板：采用1.0mm厚的304不锈钢板制作；</w:t>
            </w:r>
          </w:p>
          <w:p>
            <w:pPr>
              <w:pStyle w:val="7"/>
              <w:tabs>
                <w:tab w:val="left" w:pos="480"/>
                <w:tab w:val="left" w:pos="1260"/>
              </w:tabs>
              <w:adjustRightInd w:val="0"/>
              <w:snapToGrid w:val="0"/>
              <w:spacing w:after="0" w:line="360" w:lineRule="auto"/>
              <w:jc w:val="left"/>
              <w:rPr>
                <w:rFonts w:ascii="宋体" w:hAnsi="宋体" w:cs="宋体"/>
                <w:szCs w:val="21"/>
              </w:rPr>
            </w:pPr>
            <w:r>
              <w:rPr>
                <w:rFonts w:hint="eastAsia" w:ascii="宋体" w:hAnsi="宋体" w:cs="宋体"/>
                <w:szCs w:val="21"/>
              </w:rPr>
              <w:t>③活动式滴水棒：采用质轻、强度高、耐腐蚀，且易于组装的PVC注塑成型材质；</w:t>
            </w:r>
          </w:p>
          <w:p>
            <w:pPr>
              <w:tabs>
                <w:tab w:val="left" w:pos="1260"/>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④颜色：滴水棒采奶白或浅灰等淡色系；</w:t>
            </w:r>
          </w:p>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color w:val="000000"/>
                <w:kern w:val="0"/>
                <w:szCs w:val="21"/>
              </w:rPr>
              <w:t>⑤24棒，</w:t>
            </w:r>
            <w:r>
              <w:rPr>
                <w:rFonts w:hint="eastAsia" w:ascii="宋体" w:hAnsi="宋体" w:cs="宋体"/>
                <w:szCs w:val="21"/>
              </w:rPr>
              <w:t>所有滴水棒均以35度~45度仰角安装，以方便器皿稳固吊放；滴水棒安装孔内应具止水设计，以防止水滴向后方渗漏；滴水架底部应有向排水孔倾斜的排水槽设计以方便集水，迅速排水。推荐品牌为</w:t>
            </w:r>
            <w:r>
              <w:rPr>
                <w:rFonts w:ascii="宋体" w:hAnsi="宋体" w:cs="宋体"/>
                <w:szCs w:val="21"/>
              </w:rPr>
              <w:t>科恩、台雄</w:t>
            </w:r>
            <w:r>
              <w:rPr>
                <w:rFonts w:hint="eastAsia" w:ascii="宋体" w:hAnsi="宋体" w:cs="宋体"/>
                <w:szCs w:val="21"/>
              </w:rPr>
              <w:t>、</w:t>
            </w:r>
            <w:r>
              <w:rPr>
                <w:rFonts w:ascii="宋体" w:hAnsi="宋体" w:cs="宋体"/>
                <w:szCs w:val="21"/>
              </w:rPr>
              <w:t>博朗</w:t>
            </w:r>
            <w:r>
              <w:rPr>
                <w:rFonts w:hint="eastAsia" w:ascii="宋体" w:hAnsi="宋体" w:cs="宋体"/>
                <w:szCs w:val="21"/>
              </w:rPr>
              <w:t>或同档次产品。</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紧急冲淋器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kern w:val="0"/>
                <w:szCs w:val="21"/>
              </w:rPr>
            </w:pPr>
            <w:r>
              <w:rPr>
                <w:rFonts w:hint="eastAsia" w:ascii="宋体" w:hAnsi="宋体" w:cs="宋体"/>
                <w:color w:val="000000"/>
                <w:kern w:val="0"/>
                <w:szCs w:val="21"/>
              </w:rPr>
              <w:t>1套</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textAlignment w:val="center"/>
              <w:rPr>
                <w:rFonts w:ascii="宋体" w:hAnsi="宋体" w:cs="宋体"/>
                <w:szCs w:val="21"/>
              </w:rPr>
            </w:pPr>
            <w:r>
              <w:rPr>
                <w:rFonts w:hint="eastAsia" w:ascii="宋体" w:hAnsi="宋体" w:cs="宋体"/>
                <w:szCs w:val="21"/>
              </w:rPr>
              <w:t>①款式：立式。推荐品牌为</w:t>
            </w:r>
            <w:r>
              <w:rPr>
                <w:rFonts w:ascii="宋体" w:hAnsi="宋体" w:cs="宋体"/>
                <w:szCs w:val="21"/>
              </w:rPr>
              <w:t>科恩、台雄</w:t>
            </w:r>
            <w:r>
              <w:rPr>
                <w:rFonts w:hint="eastAsia" w:ascii="宋体" w:hAnsi="宋体" w:cs="宋体"/>
                <w:szCs w:val="21"/>
              </w:rPr>
              <w:t>、</w:t>
            </w:r>
            <w:r>
              <w:rPr>
                <w:rFonts w:ascii="宋体" w:hAnsi="宋体" w:cs="宋体"/>
                <w:szCs w:val="21"/>
              </w:rPr>
              <w:t>博朗</w:t>
            </w:r>
            <w:r>
              <w:rPr>
                <w:rFonts w:hint="eastAsia" w:ascii="宋体" w:hAnsi="宋体" w:cs="宋体"/>
                <w:szCs w:val="21"/>
              </w:rPr>
              <w:t>或同档次产品。</w:t>
            </w:r>
          </w:p>
          <w:p>
            <w:pPr>
              <w:widowControl/>
              <w:adjustRightInd w:val="0"/>
              <w:snapToGrid w:val="0"/>
              <w:spacing w:line="360" w:lineRule="auto"/>
              <w:textAlignment w:val="center"/>
              <w:rPr>
                <w:rFonts w:ascii="宋体" w:hAnsi="宋体" w:cs="宋体"/>
                <w:szCs w:val="21"/>
              </w:rPr>
            </w:pPr>
            <w:r>
              <w:rPr>
                <w:rFonts w:hint="eastAsia" w:ascii="宋体" w:hAnsi="宋体" w:cs="宋体"/>
                <w:szCs w:val="21"/>
              </w:rPr>
              <w:t>②材质：不锈钢材质。</w:t>
            </w:r>
          </w:p>
          <w:p>
            <w:pPr>
              <w:widowControl/>
              <w:adjustRightInd w:val="0"/>
              <w:snapToGrid w:val="0"/>
              <w:spacing w:line="360" w:lineRule="auto"/>
              <w:textAlignment w:val="center"/>
              <w:rPr>
                <w:rFonts w:ascii="宋体" w:hAnsi="宋体" w:cs="宋体"/>
                <w:szCs w:val="21"/>
              </w:rPr>
            </w:pPr>
            <w:r>
              <w:rPr>
                <w:rFonts w:hint="eastAsia" w:ascii="宋体" w:hAnsi="宋体" w:cs="宋体"/>
                <w:szCs w:val="21"/>
              </w:rPr>
              <w:t>③带洗眼器。</w:t>
            </w:r>
          </w:p>
          <w:p>
            <w:pPr>
              <w:widowControl/>
              <w:adjustRightInd w:val="0"/>
              <w:snapToGrid w:val="0"/>
              <w:spacing w:line="360" w:lineRule="auto"/>
              <w:textAlignment w:val="center"/>
              <w:rPr>
                <w:rFonts w:ascii="宋体" w:hAnsi="宋体" w:cs="宋体"/>
                <w:szCs w:val="21"/>
              </w:rPr>
            </w:pPr>
            <w:r>
              <w:rPr>
                <w:rFonts w:hint="eastAsia" w:ascii="宋体" w:hAnsi="宋体"/>
                <w:szCs w:val="21"/>
              </w:rPr>
              <w:t>④</w:t>
            </w:r>
            <w:r>
              <w:rPr>
                <w:rFonts w:hint="eastAsia"/>
                <w:szCs w:val="21"/>
              </w:rPr>
              <w:t>红色或黄色。</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边台实验台（415冷库靠东墙）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1台</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color w:val="FF0000"/>
                <w:kern w:val="0"/>
                <w:szCs w:val="21"/>
              </w:rPr>
            </w:pPr>
            <w:r>
              <w:rPr>
                <w:rFonts w:hint="eastAsia" w:ascii="宋体" w:hAnsi="宋体" w:cs="宋体"/>
                <w:color w:val="000000"/>
                <w:kern w:val="0"/>
                <w:szCs w:val="21"/>
              </w:rPr>
              <w:t>尺寸：3000*750*800</w:t>
            </w:r>
            <w:r>
              <w:rPr>
                <w:rFonts w:hint="eastAsia" w:ascii="宋体" w:hAnsi="宋体" w:cs="宋体"/>
                <w:kern w:val="0"/>
                <w:szCs w:val="21"/>
              </w:rPr>
              <w:t>mm</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①</w:t>
            </w:r>
            <w:r>
              <w:rPr>
                <w:rFonts w:cs="宋体"/>
                <w:color w:val="000000"/>
                <w:kern w:val="0"/>
                <w:szCs w:val="21"/>
              </w:rPr>
              <w:t>台面：使用≥12.7mm厚实芯理化板台面，</w:t>
            </w:r>
            <w:r>
              <w:rPr>
                <w:color w:val="000000"/>
                <w:szCs w:val="21"/>
              </w:rPr>
              <w:t>四周边缘加厚处理，</w:t>
            </w:r>
            <w:r>
              <w:rPr>
                <w:rFonts w:cs="宋体"/>
                <w:color w:val="000000"/>
                <w:kern w:val="0"/>
                <w:szCs w:val="21"/>
              </w:rPr>
              <w:t>加厚边</w:t>
            </w:r>
            <w:r>
              <w:rPr>
                <w:rFonts w:hint="eastAsia" w:cs="宋体"/>
                <w:color w:val="000000"/>
                <w:kern w:val="0"/>
                <w:szCs w:val="21"/>
              </w:rPr>
              <w:t>不小于</w:t>
            </w:r>
            <w:r>
              <w:rPr>
                <w:rFonts w:cs="宋体"/>
                <w:color w:val="000000"/>
                <w:kern w:val="0"/>
                <w:szCs w:val="21"/>
              </w:rPr>
              <w:t>26mm，</w:t>
            </w:r>
            <w:r>
              <w:rPr>
                <w:color w:val="000000"/>
                <w:szCs w:val="21"/>
              </w:rPr>
              <w:t>下面配有滴水线</w:t>
            </w:r>
            <w:r>
              <w:rPr>
                <w:rFonts w:hint="eastAsia"/>
                <w:color w:val="000000"/>
                <w:szCs w:val="21"/>
              </w:rPr>
              <w:t>。</w:t>
            </w:r>
            <w:r>
              <w:rPr>
                <w:rFonts w:hint="eastAsia" w:cs="宋体"/>
                <w:color w:val="000000"/>
                <w:kern w:val="0"/>
                <w:szCs w:val="21"/>
              </w:rPr>
              <w:t>台面接缝放在合理位置，并作密封</w:t>
            </w:r>
            <w:r>
              <w:rPr>
                <w:color w:val="000000"/>
                <w:szCs w:val="21"/>
              </w:rPr>
              <w:t>处理，</w:t>
            </w:r>
            <w:r>
              <w:rPr>
                <w:rFonts w:hint="eastAsia"/>
                <w:color w:val="000000"/>
                <w:szCs w:val="21"/>
              </w:rPr>
              <w:t>且</w:t>
            </w:r>
            <w:r>
              <w:rPr>
                <w:color w:val="000000"/>
                <w:szCs w:val="21"/>
              </w:rPr>
              <w:t>下方开有防止渗流槽</w:t>
            </w:r>
            <w:r>
              <w:rPr>
                <w:rFonts w:hint="eastAsia"/>
                <w:color w:val="000000"/>
                <w:szCs w:val="21"/>
              </w:rPr>
              <w:t>等</w:t>
            </w:r>
            <w:r>
              <w:rPr>
                <w:color w:val="000000"/>
                <w:szCs w:val="21"/>
              </w:rPr>
              <w:t>结构，</w:t>
            </w:r>
            <w:r>
              <w:rPr>
                <w:rFonts w:hint="eastAsia" w:cs="宋体"/>
                <w:color w:val="000000"/>
                <w:kern w:val="0"/>
                <w:szCs w:val="21"/>
              </w:rPr>
              <w:t>须</w:t>
            </w:r>
            <w:r>
              <w:rPr>
                <w:rFonts w:cs="宋体"/>
                <w:color w:val="000000"/>
                <w:kern w:val="0"/>
                <w:szCs w:val="21"/>
              </w:rPr>
              <w:t>耐酸碱、耐冲击、美观实用。</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②</w:t>
            </w:r>
            <w:r>
              <w:rPr>
                <w:rFonts w:cs="宋体"/>
                <w:color w:val="000000"/>
                <w:kern w:val="0"/>
                <w:szCs w:val="21"/>
              </w:rPr>
              <w:t>钢架：不小于40mm*60mm，钢材厚度不小于1.2mm，满缝焊接，连接处一体成型，专用连接件连接；表面须经过严格特殊处理，耐酸碱腐蚀，抗氧化，每平米承重不小于400kg。</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③</w:t>
            </w:r>
            <w:r>
              <w:rPr>
                <w:rFonts w:cs="宋体"/>
                <w:color w:val="000000"/>
                <w:kern w:val="0"/>
                <w:szCs w:val="21"/>
              </w:rPr>
              <w:t>柜体: 至少16mm厚优质E1级三聚氰胺板，</w:t>
            </w:r>
            <w:r>
              <w:rPr>
                <w:rFonts w:hint="eastAsia" w:cs="宋体"/>
                <w:color w:val="000000"/>
                <w:kern w:val="0"/>
                <w:szCs w:val="21"/>
              </w:rPr>
              <w:t>须</w:t>
            </w:r>
            <w:r>
              <w:rPr>
                <w:rFonts w:cs="宋体"/>
                <w:color w:val="000000"/>
                <w:kern w:val="0"/>
                <w:szCs w:val="21"/>
              </w:rPr>
              <w:t>经过防腐</w:t>
            </w:r>
            <w:r>
              <w:rPr>
                <w:rFonts w:hint="eastAsia" w:cs="宋体"/>
                <w:color w:val="000000"/>
                <w:kern w:val="0"/>
                <w:szCs w:val="21"/>
              </w:rPr>
              <w:t>、</w:t>
            </w:r>
            <w:r>
              <w:rPr>
                <w:rFonts w:cs="宋体"/>
                <w:color w:val="000000"/>
                <w:kern w:val="0"/>
                <w:szCs w:val="21"/>
              </w:rPr>
              <w:t>防虫</w:t>
            </w:r>
            <w:r>
              <w:rPr>
                <w:rFonts w:hint="eastAsia" w:cs="宋体"/>
                <w:color w:val="000000"/>
                <w:kern w:val="0"/>
                <w:szCs w:val="21"/>
              </w:rPr>
              <w:t>、</w:t>
            </w:r>
            <w:r>
              <w:rPr>
                <w:rFonts w:cs="宋体"/>
                <w:color w:val="000000"/>
                <w:kern w:val="0"/>
                <w:szCs w:val="21"/>
              </w:rPr>
              <w:t>防潮处理。所有断面</w:t>
            </w:r>
            <w:r>
              <w:rPr>
                <w:rFonts w:hint="eastAsia" w:cs="宋体"/>
                <w:color w:val="000000"/>
                <w:kern w:val="0"/>
                <w:szCs w:val="21"/>
              </w:rPr>
              <w:t>须</w:t>
            </w:r>
            <w:r>
              <w:rPr>
                <w:rFonts w:cs="宋体"/>
                <w:color w:val="000000"/>
                <w:kern w:val="0"/>
                <w:szCs w:val="21"/>
              </w:rPr>
              <w:t>经2mm厚 PVC封边条配胶热熔防水封边处理；要求不翘不裂、耐潮耐热、质地结实、表面平整、耐承重、有一定的强度。柜体内设</w:t>
            </w:r>
            <w:r>
              <w:rPr>
                <w:rFonts w:hint="eastAsia" w:cs="宋体"/>
                <w:color w:val="000000"/>
                <w:kern w:val="0"/>
                <w:szCs w:val="21"/>
              </w:rPr>
              <w:t>1</w:t>
            </w:r>
            <w:r>
              <w:rPr>
                <w:rFonts w:cs="宋体"/>
                <w:color w:val="000000"/>
                <w:kern w:val="0"/>
                <w:szCs w:val="21"/>
              </w:rPr>
              <w:t>层活动隔板，</w:t>
            </w:r>
            <w:r>
              <w:rPr>
                <w:color w:val="000000"/>
                <w:szCs w:val="21"/>
              </w:rPr>
              <w:t>在有水管、电线连接的部位</w:t>
            </w:r>
            <w:r>
              <w:rPr>
                <w:rFonts w:cs="宋体"/>
                <w:color w:val="000000"/>
                <w:kern w:val="0"/>
                <w:szCs w:val="21"/>
              </w:rPr>
              <w:t>，背板设活动挡板，以方便维修。</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④</w:t>
            </w:r>
            <w:r>
              <w:rPr>
                <w:rFonts w:cs="宋体"/>
                <w:color w:val="000000"/>
                <w:kern w:val="0"/>
                <w:szCs w:val="21"/>
              </w:rPr>
              <w:t>柜门、抽屉面板</w:t>
            </w:r>
            <w:r>
              <w:rPr>
                <w:rFonts w:hint="eastAsia" w:cs="宋体"/>
                <w:color w:val="000000"/>
                <w:kern w:val="0"/>
                <w:szCs w:val="21"/>
              </w:rPr>
              <w:t>、</w:t>
            </w:r>
            <w:r>
              <w:rPr>
                <w:rFonts w:cs="宋体"/>
                <w:color w:val="000000"/>
                <w:kern w:val="0"/>
                <w:szCs w:val="21"/>
              </w:rPr>
              <w:t>背板：至少16mm厚优质E1级三聚氰胺板，经过防腐防虫防潮处理。所有断面经2mm厚 PVC封边条配胶热熔防水封边处理；要求不翘不裂、耐潮耐热、质地结实、表面平整、耐承重、有一定的强度。</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⑤</w:t>
            </w:r>
            <w:r>
              <w:rPr>
                <w:rFonts w:cs="宋体"/>
                <w:color w:val="000000"/>
                <w:kern w:val="0"/>
                <w:szCs w:val="21"/>
              </w:rPr>
              <w:t>活动层板：至少16mm厚优质E1级三聚氰胺板，所有断面</w:t>
            </w:r>
            <w:r>
              <w:rPr>
                <w:rFonts w:hint="eastAsia" w:cs="宋体"/>
                <w:color w:val="000000"/>
                <w:kern w:val="0"/>
                <w:szCs w:val="21"/>
              </w:rPr>
              <w:t>须</w:t>
            </w:r>
            <w:r>
              <w:rPr>
                <w:rFonts w:cs="宋体"/>
                <w:color w:val="000000"/>
                <w:kern w:val="0"/>
                <w:szCs w:val="21"/>
              </w:rPr>
              <w:t>经PVC封边条配胶热熔防水封边处理，可根据需要自由拆装，四边倒角圆滑处理。</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⑥</w:t>
            </w:r>
            <w:r>
              <w:rPr>
                <w:rFonts w:cs="宋体"/>
                <w:color w:val="000000"/>
                <w:kern w:val="0"/>
                <w:szCs w:val="21"/>
              </w:rPr>
              <w:t>滑轨、铰链等金属配件需符合相应国家标准。</w:t>
            </w:r>
          </w:p>
          <w:p>
            <w:pPr>
              <w:widowControl/>
              <w:adjustRightInd w:val="0"/>
              <w:snapToGrid w:val="0"/>
              <w:spacing w:line="360" w:lineRule="auto"/>
              <w:jc w:val="left"/>
              <w:textAlignment w:val="center"/>
              <w:rPr>
                <w:rFonts w:cs="宋体"/>
                <w:color w:val="000000"/>
                <w:kern w:val="0"/>
                <w:szCs w:val="21"/>
              </w:rPr>
            </w:pPr>
            <w:r>
              <w:rPr>
                <w:rFonts w:hint="eastAsia" w:ascii="宋体" w:hAnsi="宋体" w:cs="宋体"/>
                <w:color w:val="000000"/>
                <w:kern w:val="0"/>
                <w:szCs w:val="21"/>
              </w:rPr>
              <w:t>⑦</w:t>
            </w:r>
            <w:r>
              <w:rPr>
                <w:rFonts w:cs="宋体"/>
                <w:color w:val="000000"/>
                <w:kern w:val="0"/>
                <w:szCs w:val="21"/>
              </w:rPr>
              <w:t>可调脚：</w:t>
            </w:r>
            <w:r>
              <w:rPr>
                <w:color w:val="000000"/>
                <w:szCs w:val="21"/>
              </w:rPr>
              <w:t>钢制可调地脚</w:t>
            </w:r>
            <w:r>
              <w:rPr>
                <w:rFonts w:cs="宋体"/>
                <w:color w:val="000000"/>
                <w:kern w:val="0"/>
                <w:szCs w:val="21"/>
              </w:rPr>
              <w:t>可调整柜体高度0-30mm, 具有防震效果。</w:t>
            </w:r>
          </w:p>
          <w:p>
            <w:pPr>
              <w:widowControl/>
              <w:adjustRightInd w:val="0"/>
              <w:snapToGrid w:val="0"/>
              <w:spacing w:line="360" w:lineRule="auto"/>
              <w:jc w:val="left"/>
              <w:textAlignment w:val="center"/>
              <w:rPr>
                <w:szCs w:val="21"/>
              </w:rPr>
            </w:pPr>
            <w:r>
              <w:rPr>
                <w:rFonts w:hint="eastAsia" w:ascii="宋体" w:hAnsi="宋体" w:cs="宋体"/>
                <w:color w:val="000000"/>
                <w:kern w:val="0"/>
                <w:szCs w:val="21"/>
              </w:rPr>
              <w:t>⑧</w:t>
            </w:r>
            <w:r>
              <w:rPr>
                <w:rFonts w:hint="eastAsia"/>
                <w:szCs w:val="21"/>
              </w:rPr>
              <w:t>留适当工作区域；</w:t>
            </w:r>
          </w:p>
          <w:p>
            <w:pPr>
              <w:widowControl/>
              <w:adjustRightInd w:val="0"/>
              <w:snapToGrid w:val="0"/>
              <w:spacing w:line="360" w:lineRule="auto"/>
              <w:jc w:val="left"/>
              <w:textAlignment w:val="center"/>
              <w:rPr>
                <w:szCs w:val="21"/>
              </w:rPr>
            </w:pPr>
            <w:r>
              <w:rPr>
                <w:rFonts w:hint="eastAsia" w:cs="宋体"/>
                <w:szCs w:val="21"/>
              </w:rPr>
              <w:t>⑨</w:t>
            </w:r>
            <w:r>
              <w:rPr>
                <w:rFonts w:hint="eastAsia"/>
                <w:szCs w:val="21"/>
              </w:rPr>
              <w:t>颜色：</w:t>
            </w:r>
            <w:r>
              <w:rPr>
                <w:szCs w:val="21"/>
              </w:rPr>
              <w:t>整体</w:t>
            </w:r>
            <w:r>
              <w:rPr>
                <w:rFonts w:hint="eastAsia"/>
                <w:szCs w:val="21"/>
              </w:rPr>
              <w:t>要求为</w:t>
            </w:r>
            <w:r>
              <w:rPr>
                <w:szCs w:val="21"/>
              </w:rPr>
              <w:t>浅色系</w:t>
            </w:r>
            <w:r>
              <w:rPr>
                <w:rFonts w:hint="eastAsia"/>
                <w:szCs w:val="21"/>
              </w:rPr>
              <w:t>，</w:t>
            </w:r>
            <w:r>
              <w:rPr>
                <w:szCs w:val="21"/>
              </w:rPr>
              <w:t>包括台面，如奶油色、象牙色、乳白色等</w:t>
            </w:r>
            <w:r>
              <w:rPr>
                <w:rFonts w:hint="eastAsia"/>
                <w:szCs w:val="21"/>
              </w:rPr>
              <w:t>；</w:t>
            </w:r>
          </w:p>
          <w:p>
            <w:pPr>
              <w:widowControl/>
              <w:adjustRightInd w:val="0"/>
              <w:snapToGrid w:val="0"/>
              <w:spacing w:line="360" w:lineRule="auto"/>
              <w:jc w:val="left"/>
              <w:textAlignment w:val="center"/>
              <w:rPr>
                <w:rFonts w:ascii="宋体" w:hAnsi="宋体" w:cs="宋体"/>
                <w:color w:val="FF0000"/>
                <w:kern w:val="0"/>
                <w:szCs w:val="21"/>
              </w:rPr>
            </w:pPr>
            <w:r>
              <w:rPr>
                <w:rFonts w:hint="eastAsia"/>
                <w:szCs w:val="21"/>
              </w:rPr>
              <w:t>⑩实验台</w:t>
            </w:r>
            <w:r>
              <w:rPr>
                <w:szCs w:val="21"/>
              </w:rPr>
              <w:t>各项性能指标需符合GB24820</w:t>
            </w:r>
            <w:r>
              <w:rPr>
                <w:rFonts w:hint="eastAsia"/>
                <w:szCs w:val="21"/>
              </w:rPr>
              <w:t>-2009实验室家具通用技术条件。所有板材甲醛含量需符合国家标准。</w:t>
            </w:r>
          </w:p>
        </w:tc>
      </w:tr>
      <w:tr>
        <w:tblPrEx>
          <w:tblLayout w:type="fixed"/>
          <w:tblCellMar>
            <w:top w:w="0" w:type="dxa"/>
            <w:left w:w="0" w:type="dxa"/>
            <w:bottom w:w="0" w:type="dxa"/>
            <w:right w:w="0" w:type="dxa"/>
          </w:tblCellMar>
        </w:tblPrEx>
        <w:trPr>
          <w:gridAfter w:val="1"/>
          <w:wAfter w:w="14089" w:type="dxa"/>
          <w:trHeight w:val="5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通风柜</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rPr>
                <w:rFonts w:ascii="宋体" w:hAnsi="宋体" w:cs="宋体"/>
                <w:color w:val="FF0000"/>
                <w:kern w:val="0"/>
                <w:szCs w:val="21"/>
              </w:rPr>
            </w:pPr>
            <w:r>
              <w:rPr>
                <w:rFonts w:hint="eastAsia" w:ascii="宋体" w:hAnsi="宋体" w:cs="宋体"/>
                <w:kern w:val="0"/>
                <w:szCs w:val="21"/>
              </w:rPr>
              <w:t>尺寸：宽1500*深850*高2350mm，全钢（玻）结构。</w:t>
            </w:r>
          </w:p>
          <w:p>
            <w:pPr>
              <w:widowControl/>
              <w:adjustRightInd w:val="0"/>
              <w:snapToGrid w:val="0"/>
              <w:spacing w:line="360" w:lineRule="auto"/>
              <w:jc w:val="left"/>
              <w:rPr>
                <w:rFonts w:ascii="宋体" w:hAnsi="宋体" w:cs="宋体"/>
                <w:kern w:val="0"/>
                <w:szCs w:val="21"/>
              </w:rPr>
            </w:pPr>
            <w:r>
              <w:rPr>
                <w:rFonts w:hint="eastAsia" w:ascii="宋体" w:hAnsi="宋体" w:cs="宋体"/>
                <w:kern w:val="0"/>
                <w:szCs w:val="21"/>
              </w:rPr>
              <w:t>①整体技术要求</w:t>
            </w:r>
            <w:r>
              <w:rPr>
                <w:rFonts w:hint="eastAsia" w:ascii="宋体" w:hAnsi="宋体" w:cs="宋体"/>
                <w:kern w:val="0"/>
                <w:szCs w:val="21"/>
              </w:rPr>
              <w:br w:type="textWrapping"/>
            </w:r>
            <w:r>
              <w:rPr>
                <w:rFonts w:hint="eastAsia" w:ascii="宋体" w:hAnsi="宋体" w:cs="宋体"/>
                <w:kern w:val="0"/>
                <w:szCs w:val="21"/>
              </w:rPr>
              <w:t>A.</w:t>
            </w:r>
            <w:r>
              <w:rPr>
                <w:rFonts w:hint="eastAsia" w:ascii="宋体" w:hAnsi="宋体"/>
                <w:color w:val="000000"/>
                <w:szCs w:val="21"/>
              </w:rPr>
              <w:t>通风柜均为全钢结构；柜内台面采用厚12.7mm以上实心理化板或陶瓷台面，耐酸碱耐腐蚀耐摩擦</w:t>
            </w:r>
            <w:r>
              <w:rPr>
                <w:rFonts w:hint="eastAsia" w:ascii="宋体" w:hAnsi="宋体" w:cs="宋体"/>
                <w:color w:val="000000"/>
                <w:kern w:val="0"/>
                <w:szCs w:val="21"/>
              </w:rPr>
              <w:t>；</w:t>
            </w:r>
            <w:r>
              <w:rPr>
                <w:rFonts w:hint="eastAsia" w:ascii="宋体" w:hAnsi="宋体"/>
                <w:color w:val="000000"/>
                <w:szCs w:val="21"/>
              </w:rPr>
              <w:t>移门选用钢化玻璃，厚</w:t>
            </w:r>
            <w:r>
              <w:rPr>
                <w:rFonts w:hint="eastAsia"/>
                <w:color w:val="000000"/>
                <w:szCs w:val="21"/>
              </w:rPr>
              <w:t>6-7mm，耐震防爆。</w:t>
            </w:r>
            <w:r>
              <w:rPr>
                <w:rFonts w:hint="eastAsia" w:ascii="宋体" w:hAnsi="宋体"/>
                <w:color w:val="000000"/>
                <w:szCs w:val="21"/>
              </w:rPr>
              <w:t>柜内工作区的照明度达到</w:t>
            </w:r>
            <w:r>
              <w:rPr>
                <w:rFonts w:hint="eastAsia"/>
                <w:color w:val="000000"/>
                <w:szCs w:val="21"/>
              </w:rPr>
              <w:t>860Lux</w:t>
            </w:r>
            <w:r>
              <w:rPr>
                <w:rFonts w:hint="eastAsia" w:ascii="宋体" w:hAnsi="宋体"/>
                <w:color w:val="000000"/>
                <w:szCs w:val="21"/>
              </w:rPr>
              <w:t>以上。系统运行噪音：≤</w:t>
            </w:r>
            <w:r>
              <w:rPr>
                <w:rFonts w:hint="eastAsia"/>
                <w:color w:val="000000"/>
                <w:szCs w:val="21"/>
              </w:rPr>
              <w:t>55db</w:t>
            </w:r>
            <w:r>
              <w:rPr>
                <w:rFonts w:hint="eastAsia" w:ascii="宋体" w:hAnsi="宋体"/>
                <w:color w:val="000000"/>
                <w:szCs w:val="21"/>
              </w:rPr>
              <w:t>。</w:t>
            </w:r>
            <w:r>
              <w:rPr>
                <w:rFonts w:hint="eastAsia" w:ascii="宋体" w:hAnsi="宋体" w:cs="宋体"/>
                <w:kern w:val="0"/>
                <w:szCs w:val="21"/>
              </w:rPr>
              <w:br w:type="textWrapping"/>
            </w:r>
            <w:r>
              <w:rPr>
                <w:rFonts w:hint="eastAsia" w:ascii="宋体" w:hAnsi="宋体" w:cs="宋体"/>
                <w:kern w:val="0"/>
                <w:szCs w:val="21"/>
              </w:rPr>
              <w:t>B.能实时监测阀门通过的风量，电动风阀随动控制，保证柜门视窗动作时无有害气体泄漏。</w:t>
            </w:r>
            <w:r>
              <w:rPr>
                <w:rFonts w:hint="eastAsia" w:ascii="宋体" w:hAnsi="宋体" w:cs="宋体"/>
                <w:kern w:val="0"/>
                <w:szCs w:val="21"/>
              </w:rPr>
              <w:br w:type="textWrapping"/>
            </w:r>
            <w:r>
              <w:rPr>
                <w:rFonts w:hint="eastAsia" w:ascii="宋体" w:hAnsi="宋体" w:cs="宋体"/>
                <w:kern w:val="0"/>
                <w:szCs w:val="21"/>
              </w:rPr>
              <w:t>C.能自动控制柜门视窗、柜内照明开启关闭，也可设置手动/自动控制柜门视窗。自动控制模式下，实验人员进入视窗范围内, 若干秒(可自由设置)后柜门视窗打开，排风系统自动将风速控制在0.5m/s；实验人员离开柜门视窗范围，若干秒后(可自由设置)柜门视窗、柜内照明自动关闭。控制面板带有风量状态三色指示灯，高亮度双位数码管，可远距离观察通风柜当前面风速。</w:t>
            </w:r>
            <w:r>
              <w:rPr>
                <w:rFonts w:hint="eastAsia" w:ascii="宋体" w:hAnsi="宋体" w:cs="宋体"/>
                <w:kern w:val="0"/>
                <w:szCs w:val="21"/>
              </w:rPr>
              <w:br w:type="textWrapping"/>
            </w:r>
            <w:r>
              <w:rPr>
                <w:rFonts w:hint="eastAsia" w:ascii="宋体" w:hAnsi="宋体" w:cs="宋体"/>
                <w:kern w:val="0"/>
                <w:szCs w:val="21"/>
              </w:rPr>
              <w:t>D.面风速选择范围：0.4m/s</w:t>
            </w:r>
            <w:r>
              <w:rPr>
                <w:kern w:val="0"/>
                <w:szCs w:val="21"/>
              </w:rPr>
              <w:t xml:space="preserve"> ~</w:t>
            </w:r>
            <w:r>
              <w:rPr>
                <w:rFonts w:hint="eastAsia" w:ascii="宋体" w:hAnsi="宋体" w:cs="宋体"/>
                <w:kern w:val="0"/>
                <w:szCs w:val="21"/>
              </w:rPr>
              <w:t xml:space="preserve"> 0.6 m/s；面风速偏差≤±15％，响应速度≤3秒。通风柜阻力应≤70Pa，控制浓度≤0.5ml/m³。</w:t>
            </w:r>
          </w:p>
          <w:p>
            <w:pPr>
              <w:widowControl/>
              <w:adjustRightInd w:val="0"/>
              <w:snapToGrid w:val="0"/>
              <w:spacing w:line="360" w:lineRule="auto"/>
              <w:jc w:val="left"/>
              <w:rPr>
                <w:rFonts w:ascii="宋体" w:hAnsi="宋体" w:cs="宋体"/>
                <w:kern w:val="0"/>
                <w:szCs w:val="21"/>
              </w:rPr>
            </w:pPr>
            <w:r>
              <w:rPr>
                <w:rFonts w:hint="eastAsia" w:ascii="宋体" w:hAnsi="宋体" w:cs="宋体"/>
                <w:kern w:val="0"/>
                <w:szCs w:val="21"/>
              </w:rPr>
              <w:t>②通风柜各项性能指标需符合相应国家和行业标准。</w:t>
            </w:r>
          </w:p>
        </w:tc>
      </w:tr>
      <w:tr>
        <w:tblPrEx>
          <w:tblLayout w:type="fixed"/>
          <w:tblCellMar>
            <w:top w:w="0" w:type="dxa"/>
            <w:left w:w="0" w:type="dxa"/>
            <w:bottom w:w="0" w:type="dxa"/>
            <w:right w:w="0" w:type="dxa"/>
          </w:tblCellMar>
        </w:tblPrEx>
        <w:trPr>
          <w:gridAfter w:val="1"/>
          <w:wAfter w:w="14089" w:type="dxa"/>
          <w:trHeight w:val="111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矮台（415冷库南北两侧）</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szCs w:val="21"/>
              </w:rPr>
              <w:t>2个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1260"/>
              </w:tabs>
              <w:autoSpaceDE w:val="0"/>
              <w:autoSpaceDN w:val="0"/>
              <w:adjustRightInd w:val="0"/>
              <w:snapToGrid w:val="0"/>
              <w:spacing w:line="360" w:lineRule="auto"/>
              <w:jc w:val="left"/>
              <w:rPr>
                <w:rFonts w:ascii="宋体" w:hAnsi="宋体" w:cs="宋体"/>
                <w:color w:val="000000"/>
                <w:kern w:val="0"/>
                <w:szCs w:val="21"/>
              </w:rPr>
            </w:pPr>
            <w:r>
              <w:rPr>
                <w:rFonts w:hint="eastAsia" w:ascii="宋体" w:hAnsi="宋体" w:cs="宋体"/>
                <w:color w:val="000000"/>
                <w:kern w:val="0"/>
                <w:szCs w:val="21"/>
              </w:rPr>
              <w:t>尺寸：650*750*500mm</w:t>
            </w:r>
          </w:p>
          <w:p>
            <w:pPr>
              <w:tabs>
                <w:tab w:val="left" w:pos="1260"/>
              </w:tabs>
              <w:autoSpaceDE w:val="0"/>
              <w:autoSpaceDN w:val="0"/>
              <w:adjustRightInd w:val="0"/>
              <w:snapToGrid w:val="0"/>
              <w:spacing w:line="360" w:lineRule="auto"/>
              <w:jc w:val="left"/>
              <w:rPr>
                <w:rFonts w:ascii="宋体" w:hAnsi="宋体" w:cs="宋体"/>
                <w:color w:val="000000"/>
                <w:kern w:val="0"/>
                <w:szCs w:val="21"/>
              </w:rPr>
            </w:pPr>
            <w:r>
              <w:rPr>
                <w:rFonts w:hint="eastAsia" w:ascii="宋体" w:hAnsi="宋体" w:cs="宋体"/>
                <w:color w:val="000000"/>
                <w:kern w:val="0"/>
                <w:szCs w:val="21"/>
              </w:rPr>
              <w:t>①台面部分：此部分要求同序号1中央台；</w:t>
            </w:r>
          </w:p>
          <w:p>
            <w:pPr>
              <w:tabs>
                <w:tab w:val="left" w:pos="1260"/>
              </w:tabs>
              <w:autoSpaceDE w:val="0"/>
              <w:autoSpaceDN w:val="0"/>
              <w:adjustRightInd w:val="0"/>
              <w:snapToGrid w:val="0"/>
              <w:spacing w:line="360" w:lineRule="auto"/>
              <w:jc w:val="left"/>
              <w:rPr>
                <w:rFonts w:ascii="宋体" w:hAnsi="宋体" w:cs="宋体"/>
                <w:color w:val="000000"/>
                <w:kern w:val="0"/>
                <w:szCs w:val="21"/>
              </w:rPr>
            </w:pPr>
            <w:r>
              <w:rPr>
                <w:rFonts w:hint="eastAsia" w:ascii="宋体" w:hAnsi="宋体" w:cs="宋体"/>
                <w:color w:val="000000"/>
                <w:kern w:val="0"/>
                <w:szCs w:val="21"/>
              </w:rPr>
              <w:t>②</w:t>
            </w:r>
            <w:r>
              <w:rPr>
                <w:rFonts w:hint="eastAsia" w:ascii="宋体" w:hAnsi="宋体" w:cs="宋体"/>
                <w:szCs w:val="21"/>
              </w:rPr>
              <w:t>框架：钢</w:t>
            </w:r>
            <w:r>
              <w:rPr>
                <w:rFonts w:hint="eastAsia" w:ascii="宋体" w:hAnsi="宋体" w:cs="宋体"/>
                <w:szCs w:val="21"/>
                <w:highlight w:val="none"/>
              </w:rPr>
              <w:t>架采用不小于60mm *4</w:t>
            </w:r>
            <w:r>
              <w:rPr>
                <w:rFonts w:hint="eastAsia" w:ascii="宋体" w:hAnsi="宋体" w:cs="宋体"/>
                <w:szCs w:val="21"/>
              </w:rPr>
              <w:t>0mm*1.2mm型钢管制作，经环氧树脂喷涂处理,</w:t>
            </w:r>
            <w:r>
              <w:rPr>
                <w:rFonts w:hint="eastAsia" w:ascii="宋体" w:hAnsi="宋体" w:cs="宋体"/>
                <w:color w:val="000000"/>
                <w:kern w:val="0"/>
                <w:szCs w:val="21"/>
              </w:rPr>
              <w:t xml:space="preserve"> 耐酸碱腐蚀，抗氧化，承重性能好；</w:t>
            </w:r>
          </w:p>
          <w:p>
            <w:pPr>
              <w:tabs>
                <w:tab w:val="left" w:pos="1260"/>
              </w:tabs>
              <w:autoSpaceDE w:val="0"/>
              <w:autoSpaceDN w:val="0"/>
              <w:adjustRightInd w:val="0"/>
              <w:snapToGrid w:val="0"/>
              <w:spacing w:line="360" w:lineRule="auto"/>
              <w:jc w:val="left"/>
              <w:rPr>
                <w:rFonts w:ascii="宋体" w:hAnsi="宋体" w:cs="宋体"/>
                <w:kern w:val="44"/>
                <w:szCs w:val="21"/>
              </w:rPr>
            </w:pPr>
            <w:r>
              <w:rPr>
                <w:rFonts w:hint="eastAsia" w:ascii="宋体" w:hAnsi="宋体" w:cs="宋体"/>
                <w:kern w:val="44"/>
                <w:szCs w:val="21"/>
              </w:rPr>
              <w:t>③调整脚：钢制可调地脚，承重、防潮、防滑、抑菌、耐腐蚀，可根据室内地坪适当调整柜体高度；外形美观，设计人性化。</w:t>
            </w:r>
          </w:p>
          <w:p>
            <w:pPr>
              <w:tabs>
                <w:tab w:val="left" w:pos="1260"/>
              </w:tabs>
              <w:autoSpaceDE w:val="0"/>
              <w:autoSpaceDN w:val="0"/>
              <w:adjustRightInd w:val="0"/>
              <w:snapToGrid w:val="0"/>
              <w:spacing w:line="360" w:lineRule="auto"/>
              <w:jc w:val="left"/>
              <w:rPr>
                <w:szCs w:val="21"/>
              </w:rPr>
            </w:pPr>
            <w:r>
              <w:rPr>
                <w:rFonts w:hint="eastAsia" w:ascii="宋体" w:hAnsi="宋体"/>
                <w:szCs w:val="21"/>
              </w:rPr>
              <w:t>④</w:t>
            </w:r>
            <w:r>
              <w:rPr>
                <w:szCs w:val="21"/>
              </w:rPr>
              <w:t>整体浅色系，包括台面，如奶油色、象牙色、乳白色等。</w:t>
            </w:r>
          </w:p>
        </w:tc>
      </w:tr>
      <w:tr>
        <w:tblPrEx>
          <w:tblLayout w:type="fixed"/>
          <w:tblCellMar>
            <w:top w:w="0" w:type="dxa"/>
            <w:left w:w="0" w:type="dxa"/>
            <w:bottom w:w="0" w:type="dxa"/>
            <w:right w:w="0" w:type="dxa"/>
          </w:tblCellMar>
        </w:tblPrEx>
        <w:trPr>
          <w:trHeight w:val="863"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不锈钢杆（冷库）</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4根</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1260"/>
              </w:tabs>
              <w:autoSpaceDE w:val="0"/>
              <w:autoSpaceDN w:val="0"/>
              <w:adjustRightInd w:val="0"/>
              <w:snapToGrid w:val="0"/>
              <w:spacing w:line="360" w:lineRule="auto"/>
              <w:jc w:val="left"/>
              <w:rPr>
                <w:rFonts w:ascii="宋体" w:hAnsi="宋体" w:cs="宋体"/>
                <w:color w:val="000000"/>
                <w:kern w:val="0"/>
                <w:szCs w:val="21"/>
              </w:rPr>
            </w:pPr>
            <w:r>
              <w:rPr>
                <w:rFonts w:cs="宋体"/>
                <w:szCs w:val="21"/>
              </w:rPr>
              <w:t>304不锈钢材质。</w:t>
            </w:r>
            <w:r>
              <w:rPr>
                <w:color w:val="000000"/>
                <w:szCs w:val="21"/>
              </w:rPr>
              <w:t>四根不锈钢杆两端牢固固定在两个矮台上方的墙面上（每面墙上两根），从桌子</w:t>
            </w:r>
            <w:r>
              <w:rPr>
                <w:rFonts w:hint="eastAsia"/>
                <w:color w:val="000000"/>
                <w:szCs w:val="21"/>
              </w:rPr>
              <w:t>上方</w:t>
            </w:r>
            <w:r>
              <w:rPr>
                <w:color w:val="000000"/>
                <w:szCs w:val="21"/>
              </w:rPr>
              <w:t>固定到天花板。四根金属柱直径约1.5cm，垂直平行于墙壁，且距离墙壁约20cm。每根柱子下端距台面约10cm，上端距吊顶约5cm。</w:t>
            </w:r>
            <w:r>
              <w:rPr>
                <w:rFonts w:hint="eastAsia"/>
                <w:color w:val="000000"/>
                <w:szCs w:val="21"/>
              </w:rPr>
              <w:t>每根金属长度约1.8-2m。</w:t>
            </w:r>
          </w:p>
        </w:tc>
        <w:tc>
          <w:tcPr>
            <w:tcW w:w="14089" w:type="dxa"/>
            <w:vAlign w:val="center"/>
          </w:tcPr>
          <w:p>
            <w:pPr>
              <w:widowControl/>
              <w:adjustRightInd w:val="0"/>
              <w:snapToGrid w:val="0"/>
              <w:spacing w:line="360" w:lineRule="auto"/>
              <w:jc w:val="left"/>
              <w:rPr>
                <w:szCs w:val="21"/>
              </w:rPr>
            </w:pPr>
          </w:p>
        </w:tc>
      </w:tr>
      <w:tr>
        <w:tblPrEx>
          <w:tblLayout w:type="fixed"/>
          <w:tblCellMar>
            <w:top w:w="0" w:type="dxa"/>
            <w:left w:w="0" w:type="dxa"/>
            <w:bottom w:w="0" w:type="dxa"/>
            <w:right w:w="0" w:type="dxa"/>
          </w:tblCellMar>
        </w:tblPrEx>
        <w:trPr>
          <w:gridAfter w:val="1"/>
          <w:wAfter w:w="14089" w:type="dxa"/>
          <w:trHeight w:val="111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无门吊柜（冷库东墙）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尺寸：3000*350*700mm，</w:t>
            </w:r>
            <w:r>
              <w:rPr>
                <w:rFonts w:hint="eastAsia"/>
                <w:szCs w:val="21"/>
              </w:rPr>
              <w:t>三层，柜内每层</w:t>
            </w:r>
            <w:r>
              <w:rPr>
                <w:rFonts w:hint="eastAsia" w:ascii="宋体" w:hAnsi="宋体"/>
                <w:szCs w:val="21"/>
              </w:rPr>
              <w:t>350mm</w:t>
            </w:r>
            <w:r>
              <w:rPr>
                <w:rFonts w:hint="eastAsia"/>
                <w:szCs w:val="21"/>
              </w:rPr>
              <w:t>高。</w:t>
            </w:r>
          </w:p>
          <w:p>
            <w:pPr>
              <w:tabs>
                <w:tab w:val="left" w:pos="1260"/>
              </w:tabs>
              <w:autoSpaceDE w:val="0"/>
              <w:autoSpaceDN w:val="0"/>
              <w:adjustRightInd w:val="0"/>
              <w:snapToGrid w:val="0"/>
              <w:spacing w:line="360" w:lineRule="auto"/>
              <w:jc w:val="left"/>
              <w:rPr>
                <w:rFonts w:ascii="宋体" w:hAnsi="宋体" w:cs="宋体"/>
                <w:color w:val="000000"/>
                <w:kern w:val="0"/>
                <w:szCs w:val="21"/>
              </w:rPr>
            </w:pPr>
            <w:r>
              <w:rPr>
                <w:rFonts w:hint="eastAsia" w:ascii="宋体" w:hAnsi="宋体" w:cs="宋体"/>
                <w:kern w:val="0"/>
                <w:szCs w:val="21"/>
              </w:rPr>
              <w:t>①饰面：</w:t>
            </w:r>
            <w:r>
              <w:rPr>
                <w:rFonts w:hint="eastAsia" w:ascii="宋体" w:hAnsi="宋体" w:cs="宋体"/>
                <w:color w:val="000000"/>
                <w:kern w:val="0"/>
                <w:szCs w:val="21"/>
              </w:rPr>
              <w:t>三聚氰胺饰面板，厚度4-5mm。</w:t>
            </w:r>
          </w:p>
          <w:p>
            <w:pPr>
              <w:tabs>
                <w:tab w:val="left" w:pos="1260"/>
              </w:tabs>
              <w:autoSpaceDE w:val="0"/>
              <w:autoSpaceDN w:val="0"/>
              <w:adjustRightInd w:val="0"/>
              <w:snapToGrid w:val="0"/>
              <w:spacing w:line="360" w:lineRule="auto"/>
              <w:jc w:val="left"/>
              <w:rPr>
                <w:color w:val="000000"/>
                <w:szCs w:val="21"/>
              </w:rPr>
            </w:pPr>
            <w:r>
              <w:rPr>
                <w:rFonts w:hint="eastAsia" w:ascii="宋体" w:hAnsi="宋体" w:cs="宋体"/>
                <w:color w:val="000000"/>
                <w:kern w:val="0"/>
                <w:szCs w:val="21"/>
              </w:rPr>
              <w:t>②基材为E1级绿色环保防火板，</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w:t>
            </w:r>
          </w:p>
          <w:p>
            <w:pPr>
              <w:tabs>
                <w:tab w:val="left" w:pos="1260"/>
              </w:tabs>
              <w:autoSpaceDE w:val="0"/>
              <w:autoSpaceDN w:val="0"/>
              <w:adjustRightInd w:val="0"/>
              <w:snapToGrid w:val="0"/>
              <w:spacing w:line="360" w:lineRule="auto"/>
              <w:jc w:val="left"/>
              <w:rPr>
                <w:rFonts w:ascii="宋体" w:hAnsi="宋体" w:cs="宋体"/>
                <w:color w:val="000000"/>
                <w:kern w:val="0"/>
                <w:szCs w:val="21"/>
              </w:rPr>
            </w:pPr>
            <w:r>
              <w:rPr>
                <w:rFonts w:hint="eastAsia" w:ascii="宋体" w:hAnsi="宋体" w:cs="宋体"/>
                <w:color w:val="000000"/>
                <w:kern w:val="0"/>
                <w:szCs w:val="21"/>
              </w:rPr>
              <w:t>③封边：2MM厚PVC同色封边。</w:t>
            </w:r>
          </w:p>
          <w:p>
            <w:pPr>
              <w:tabs>
                <w:tab w:val="left" w:pos="1260"/>
              </w:tabs>
              <w:autoSpaceDE w:val="0"/>
              <w:autoSpaceDN w:val="0"/>
              <w:adjustRightInd w:val="0"/>
              <w:snapToGrid w:val="0"/>
              <w:spacing w:line="360" w:lineRule="auto"/>
              <w:jc w:val="left"/>
              <w:rPr>
                <w:rFonts w:ascii="宋体" w:hAnsi="宋体" w:cs="宋体"/>
                <w:color w:val="000000"/>
                <w:kern w:val="0"/>
                <w:szCs w:val="21"/>
              </w:rPr>
            </w:pPr>
            <w:r>
              <w:rPr>
                <w:rFonts w:hint="eastAsia" w:ascii="宋体" w:hAnsi="宋体" w:cs="宋体"/>
                <w:color w:val="000000"/>
                <w:kern w:val="0"/>
                <w:szCs w:val="21"/>
              </w:rPr>
              <w:t>④</w:t>
            </w:r>
            <w:r>
              <w:rPr>
                <w:rFonts w:ascii="宋体" w:hAnsi="宋体" w:cs="宋体"/>
                <w:color w:val="000000"/>
                <w:kern w:val="0"/>
                <w:szCs w:val="21"/>
              </w:rPr>
              <w:t>所有金属</w:t>
            </w:r>
            <w:r>
              <w:rPr>
                <w:rFonts w:hint="eastAsia" w:ascii="宋体" w:hAnsi="宋体" w:cs="宋体"/>
                <w:color w:val="000000"/>
                <w:kern w:val="0"/>
                <w:szCs w:val="21"/>
              </w:rPr>
              <w:t>配件需符合相应国家标准。</w:t>
            </w:r>
          </w:p>
          <w:p>
            <w:pPr>
              <w:tabs>
                <w:tab w:val="left" w:pos="1260"/>
              </w:tabs>
              <w:autoSpaceDE w:val="0"/>
              <w:autoSpaceDN w:val="0"/>
              <w:adjustRightInd w:val="0"/>
              <w:snapToGrid w:val="0"/>
              <w:spacing w:line="360" w:lineRule="auto"/>
              <w:jc w:val="left"/>
              <w:rPr>
                <w:szCs w:val="21"/>
              </w:rPr>
            </w:pPr>
            <w:r>
              <w:rPr>
                <w:rFonts w:hint="eastAsia"/>
                <w:szCs w:val="21"/>
              </w:rPr>
              <w:t>⑤柜内层数：两层，柜内每层</w:t>
            </w:r>
            <w:r>
              <w:rPr>
                <w:rFonts w:hint="eastAsia" w:ascii="宋体" w:hAnsi="宋体"/>
                <w:szCs w:val="21"/>
              </w:rPr>
              <w:t>350mm</w:t>
            </w:r>
            <w:r>
              <w:rPr>
                <w:rFonts w:hint="eastAsia"/>
                <w:szCs w:val="21"/>
              </w:rPr>
              <w:t>高。</w:t>
            </w:r>
          </w:p>
          <w:p>
            <w:pPr>
              <w:tabs>
                <w:tab w:val="left" w:pos="1260"/>
              </w:tabs>
              <w:autoSpaceDE w:val="0"/>
              <w:autoSpaceDN w:val="0"/>
              <w:adjustRightInd w:val="0"/>
              <w:snapToGrid w:val="0"/>
              <w:spacing w:line="360" w:lineRule="auto"/>
              <w:jc w:val="left"/>
              <w:rPr>
                <w:szCs w:val="21"/>
              </w:rPr>
            </w:pPr>
            <w:r>
              <w:rPr>
                <w:rFonts w:hint="eastAsia"/>
                <w:szCs w:val="21"/>
              </w:rPr>
              <w:t>⑥整体浅色系，如奶油色、象牙色、乳白色等。</w:t>
            </w:r>
          </w:p>
          <w:p>
            <w:pPr>
              <w:tabs>
                <w:tab w:val="left" w:pos="1260"/>
              </w:tabs>
              <w:autoSpaceDE w:val="0"/>
              <w:autoSpaceDN w:val="0"/>
              <w:adjustRightInd w:val="0"/>
              <w:snapToGrid w:val="0"/>
              <w:spacing w:line="360" w:lineRule="auto"/>
              <w:jc w:val="left"/>
              <w:rPr>
                <w:rFonts w:ascii="宋体" w:hAnsi="宋体" w:cs="宋体"/>
                <w:color w:val="000000"/>
                <w:kern w:val="0"/>
                <w:szCs w:val="21"/>
              </w:rPr>
            </w:pPr>
            <w:r>
              <w:rPr>
                <w:rFonts w:hint="eastAsia"/>
                <w:szCs w:val="21"/>
              </w:rPr>
              <w:t>⑦</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111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试剂柜</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1260"/>
              </w:tabs>
              <w:autoSpaceDE w:val="0"/>
              <w:autoSpaceDN w:val="0"/>
              <w:adjustRightInd w:val="0"/>
              <w:snapToGrid w:val="0"/>
              <w:spacing w:line="360" w:lineRule="auto"/>
              <w:jc w:val="left"/>
              <w:rPr>
                <w:rFonts w:ascii="宋体" w:hAnsi="宋体" w:cs="宋体"/>
                <w:szCs w:val="21"/>
              </w:rPr>
            </w:pPr>
            <w:r>
              <w:rPr>
                <w:rFonts w:hint="eastAsia" w:ascii="宋体" w:hAnsi="宋体" w:cs="宋体"/>
                <w:kern w:val="0"/>
                <w:szCs w:val="21"/>
              </w:rPr>
              <w:t>尺寸：</w:t>
            </w:r>
            <w:r>
              <w:rPr>
                <w:rFonts w:hint="eastAsia" w:ascii="宋体" w:hAnsi="宋体" w:cs="宋体"/>
                <w:color w:val="000000"/>
                <w:kern w:val="0"/>
                <w:szCs w:val="21"/>
              </w:rPr>
              <w:t>900*450*1800mm。</w:t>
            </w:r>
            <w:r>
              <w:rPr>
                <w:rFonts w:hint="eastAsia" w:ascii="宋体" w:hAnsi="宋体" w:cs="宋体"/>
                <w:kern w:val="0"/>
                <w:szCs w:val="21"/>
              </w:rPr>
              <w:t>整个试剂柜防锈耐腐蚀，</w:t>
            </w:r>
            <w:r>
              <w:rPr>
                <w:rFonts w:hint="eastAsia" w:ascii="宋体" w:hAnsi="宋体"/>
                <w:color w:val="000000"/>
                <w:szCs w:val="21"/>
              </w:rPr>
              <w:t>整体浅色系，如奶油色、象牙色、乳白色等。</w:t>
            </w:r>
          </w:p>
          <w:p>
            <w:pPr>
              <w:tabs>
                <w:tab w:val="left" w:pos="1260"/>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①柜体：</w:t>
            </w:r>
            <w:r>
              <w:rPr>
                <w:rFonts w:hint="eastAsia" w:ascii="宋体" w:hAnsi="宋体" w:cs="宋体"/>
                <w:kern w:val="0"/>
                <w:szCs w:val="21"/>
              </w:rPr>
              <w:t>宽度900mm柜体采用双开门款式，采用全钢材质结构，加工基板为≥1.0mm厚符合相应标准的宝钢、鞍钢、马钢、首钢等优质低碳无花环保镀锌钢板，钢板面层</w:t>
            </w:r>
            <w:r>
              <w:rPr>
                <w:rFonts w:hint="eastAsia" w:ascii="宋体" w:hAnsi="宋体"/>
                <w:color w:val="000000"/>
                <w:szCs w:val="21"/>
              </w:rPr>
              <w:t>经酸洗、磷化、抛光等</w:t>
            </w:r>
            <w:r>
              <w:rPr>
                <w:rFonts w:hint="eastAsia" w:ascii="宋体" w:hAnsi="宋体" w:cs="宋体"/>
                <w:kern w:val="0"/>
                <w:szCs w:val="21"/>
              </w:rPr>
              <w:t>特殊处理</w:t>
            </w:r>
            <w:r>
              <w:rPr>
                <w:rFonts w:hint="eastAsia" w:ascii="宋体" w:hAnsi="宋体" w:cs="宋体"/>
                <w:kern w:val="44"/>
                <w:szCs w:val="21"/>
              </w:rPr>
              <w:t>后，再经环氧树酯粉末静电喷涂、最终高温固化处理；</w:t>
            </w:r>
            <w:r>
              <w:rPr>
                <w:rFonts w:hint="eastAsia" w:ascii="宋体" w:hAnsi="宋体" w:cs="宋体"/>
                <w:kern w:val="0"/>
                <w:szCs w:val="21"/>
              </w:rPr>
              <w:t>柜体内有层板上下调节孔，可灵活调节层板位置，层板上下调节间距每格应小于20mm。</w:t>
            </w:r>
          </w:p>
          <w:p>
            <w:pPr>
              <w:tabs>
                <w:tab w:val="left" w:pos="1260"/>
              </w:tabs>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44"/>
                <w:szCs w:val="21"/>
              </w:rPr>
              <w:t>②</w:t>
            </w:r>
            <w:r>
              <w:rPr>
                <w:rFonts w:hint="eastAsia" w:ascii="宋体" w:hAnsi="宋体" w:cs="宋体"/>
                <w:szCs w:val="21"/>
              </w:rPr>
              <w:t>铰链、滑轨等</w:t>
            </w:r>
            <w:r>
              <w:rPr>
                <w:rFonts w:cs="宋体"/>
                <w:color w:val="000000"/>
                <w:kern w:val="0"/>
                <w:szCs w:val="21"/>
              </w:rPr>
              <w:t>金属配件需符合相应国家标准</w:t>
            </w:r>
            <w:r>
              <w:rPr>
                <w:rFonts w:hint="eastAsia" w:ascii="宋体" w:hAnsi="宋体" w:cs="宋体"/>
                <w:szCs w:val="21"/>
              </w:rPr>
              <w:t>。</w:t>
            </w:r>
          </w:p>
          <w:p>
            <w:pPr>
              <w:tabs>
                <w:tab w:val="left" w:pos="839"/>
                <w:tab w:val="left" w:pos="1260"/>
              </w:tabs>
              <w:autoSpaceDE w:val="0"/>
              <w:autoSpaceDN w:val="0"/>
              <w:adjustRightInd w:val="0"/>
              <w:snapToGrid w:val="0"/>
              <w:spacing w:line="360" w:lineRule="auto"/>
              <w:jc w:val="left"/>
              <w:rPr>
                <w:rFonts w:ascii="宋体" w:hAnsi="宋体" w:cs="宋体"/>
                <w:szCs w:val="21"/>
                <w:u w:val="single"/>
              </w:rPr>
            </w:pPr>
            <w:r>
              <w:rPr>
                <w:rFonts w:hint="eastAsia" w:ascii="宋体" w:hAnsi="宋体" w:cs="宋体"/>
                <w:kern w:val="0"/>
                <w:szCs w:val="21"/>
              </w:rPr>
              <w:t>③调整脚：每个柜体单元应配备4个调整脚，</w:t>
            </w:r>
            <w:r>
              <w:rPr>
                <w:rFonts w:hint="eastAsia" w:ascii="宋体" w:hAnsi="宋体" w:cs="宋体"/>
                <w:kern w:val="44"/>
                <w:szCs w:val="21"/>
              </w:rPr>
              <w:t>承重、防震、防潮、防滑、抑菌、耐腐蚀，可根据室内地坪适当调整柜体高度；外形美观，设计人性化</w:t>
            </w:r>
            <w:r>
              <w:rPr>
                <w:rFonts w:hint="eastAsia" w:ascii="宋体" w:hAnsi="宋体" w:cs="宋体"/>
                <w:szCs w:val="21"/>
              </w:rPr>
              <w:t>。</w:t>
            </w:r>
          </w:p>
          <w:p>
            <w:pPr>
              <w:tabs>
                <w:tab w:val="left" w:pos="1260"/>
              </w:tabs>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④门板：</w:t>
            </w:r>
            <w:r>
              <w:rPr>
                <w:rFonts w:hint="eastAsia" w:ascii="宋体" w:hAnsi="宋体" w:cs="宋体"/>
                <w:szCs w:val="21"/>
              </w:rPr>
              <w:t>上柜门为钢框玻璃门，玻璃至少5mm厚钢化玻璃，玻璃四周镶嵌卡条，下柜柜门为全钢门。门板于适当位置安装门扣组及缓冲垫，以避免与柜体钢板碰撞；门板能开关顺畅达180度。</w:t>
            </w:r>
            <w:r>
              <w:rPr>
                <w:rFonts w:hint="eastAsia" w:ascii="宋体" w:hAnsi="宋体" w:cs="宋体"/>
                <w:kern w:val="0"/>
                <w:szCs w:val="21"/>
              </w:rPr>
              <w:t>门板拉手具有锁具功能。</w:t>
            </w:r>
          </w:p>
          <w:p>
            <w:pPr>
              <w:tabs>
                <w:tab w:val="left" w:pos="1260"/>
              </w:tabs>
              <w:autoSpaceDE w:val="0"/>
              <w:autoSpaceDN w:val="0"/>
              <w:adjustRightInd w:val="0"/>
              <w:snapToGrid w:val="0"/>
              <w:spacing w:line="360" w:lineRule="auto"/>
              <w:jc w:val="left"/>
              <w:rPr>
                <w:rFonts w:ascii="宋体" w:hAnsi="宋体" w:cs="宋体"/>
                <w:color w:val="000000"/>
                <w:kern w:val="0"/>
                <w:szCs w:val="21"/>
              </w:rPr>
            </w:pPr>
            <w:r>
              <w:rPr>
                <w:rFonts w:hint="eastAsia"/>
              </w:rPr>
              <w:t>⑤</w:t>
            </w:r>
            <w:r>
              <w:rPr>
                <w:szCs w:val="21"/>
              </w:rPr>
              <w:t>试剂柜各项性能指标需符合GB24820-2009实验室家具通用技术条件。</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防爆试剂柜</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1260"/>
              </w:tabs>
              <w:autoSpaceDE w:val="0"/>
              <w:autoSpaceDN w:val="0"/>
              <w:adjustRightInd w:val="0"/>
              <w:snapToGrid w:val="0"/>
              <w:spacing w:line="360" w:lineRule="auto"/>
              <w:jc w:val="left"/>
              <w:rPr>
                <w:rFonts w:ascii="宋体" w:hAnsi="宋体" w:cs="宋体"/>
                <w:kern w:val="44"/>
                <w:szCs w:val="21"/>
              </w:rPr>
            </w:pPr>
            <w:r>
              <w:rPr>
                <w:rFonts w:hint="eastAsia" w:ascii="宋体" w:hAnsi="宋体" w:cs="宋体"/>
                <w:kern w:val="44"/>
                <w:szCs w:val="21"/>
              </w:rPr>
              <w:t>试剂柜整体防火、防爆、强耐腐蚀。</w:t>
            </w:r>
          </w:p>
          <w:p>
            <w:pPr>
              <w:tabs>
                <w:tab w:val="left" w:pos="1260"/>
              </w:tabs>
              <w:autoSpaceDE w:val="0"/>
              <w:autoSpaceDN w:val="0"/>
              <w:adjustRightInd w:val="0"/>
              <w:snapToGrid w:val="0"/>
              <w:spacing w:line="360" w:lineRule="auto"/>
              <w:jc w:val="left"/>
              <w:rPr>
                <w:rFonts w:ascii="宋体" w:hAnsi="宋体" w:cs="宋体"/>
                <w:kern w:val="44"/>
                <w:szCs w:val="21"/>
              </w:rPr>
            </w:pPr>
            <w:r>
              <w:rPr>
                <w:rFonts w:hint="eastAsia" w:ascii="宋体" w:hAnsi="宋体" w:cs="宋体"/>
                <w:kern w:val="44"/>
                <w:szCs w:val="21"/>
              </w:rPr>
              <w:t>①柜体颜色：亮色系。柜身外部壳体全部采用1.2mm一级冷轧钢板，强耐腐蚀型特种涂层。</w:t>
            </w:r>
          </w:p>
          <w:p>
            <w:pPr>
              <w:tabs>
                <w:tab w:val="left" w:pos="1260"/>
              </w:tabs>
              <w:autoSpaceDE w:val="0"/>
              <w:autoSpaceDN w:val="0"/>
              <w:adjustRightInd w:val="0"/>
              <w:snapToGrid w:val="0"/>
              <w:spacing w:line="360" w:lineRule="auto"/>
              <w:jc w:val="left"/>
              <w:rPr>
                <w:rFonts w:ascii="宋体" w:hAnsi="宋体" w:cs="宋体"/>
                <w:kern w:val="44"/>
                <w:szCs w:val="21"/>
              </w:rPr>
            </w:pPr>
            <w:r>
              <w:rPr>
                <w:rFonts w:hint="eastAsia" w:ascii="宋体" w:hAnsi="宋体" w:cs="宋体"/>
                <w:kern w:val="44"/>
                <w:szCs w:val="21"/>
              </w:rPr>
              <w:t>②柜体内胆（上、下、左、右内衬板）全部采用瓷白聚丙烯树脂板；柜底右侧设可调进风口，有可调风阀；柜体内部最下层留有至少5cm高的漏液槽，挡板应与柜体连为一体；柜体夹层填充具有保温隔热作用的防火材料；柜体门与柜体之间安装防火膨胀密封件；柜底装有移动脚轮，便于易燃品毒害品存储柜移动。</w:t>
            </w:r>
          </w:p>
          <w:p>
            <w:pPr>
              <w:tabs>
                <w:tab w:val="left" w:pos="1260"/>
              </w:tabs>
              <w:autoSpaceDE w:val="0"/>
              <w:autoSpaceDN w:val="0"/>
              <w:adjustRightInd w:val="0"/>
              <w:snapToGrid w:val="0"/>
              <w:spacing w:line="360" w:lineRule="auto"/>
              <w:jc w:val="left"/>
              <w:rPr>
                <w:rFonts w:ascii="宋体" w:hAnsi="宋体" w:cs="宋体"/>
                <w:kern w:val="44"/>
                <w:szCs w:val="21"/>
              </w:rPr>
            </w:pPr>
            <w:r>
              <w:rPr>
                <w:rFonts w:hint="eastAsia" w:ascii="宋体" w:hAnsi="宋体" w:cs="宋体"/>
                <w:kern w:val="44"/>
                <w:szCs w:val="21"/>
              </w:rPr>
              <w:t>③柜体内含2-3层可调层高的层板。</w:t>
            </w:r>
          </w:p>
          <w:p>
            <w:pPr>
              <w:tabs>
                <w:tab w:val="left" w:pos="1260"/>
              </w:tabs>
              <w:autoSpaceDE w:val="0"/>
              <w:autoSpaceDN w:val="0"/>
              <w:adjustRightInd w:val="0"/>
              <w:snapToGrid w:val="0"/>
              <w:spacing w:line="360" w:lineRule="auto"/>
              <w:jc w:val="left"/>
              <w:rPr>
                <w:rFonts w:ascii="宋体" w:hAnsi="宋体" w:cs="宋体"/>
                <w:kern w:val="44"/>
                <w:szCs w:val="21"/>
              </w:rPr>
            </w:pPr>
            <w:r>
              <w:rPr>
                <w:rFonts w:hint="eastAsia" w:ascii="宋体" w:hAnsi="宋体" w:cs="宋体"/>
                <w:kern w:val="44"/>
                <w:szCs w:val="21"/>
              </w:rPr>
              <w:t>④把手：采用内嵌式门把手，且把手需选用304以上不锈钢，具备较强耐腐蚀性能。</w:t>
            </w:r>
          </w:p>
          <w:p>
            <w:pPr>
              <w:widowControl/>
              <w:adjustRightInd w:val="0"/>
              <w:snapToGrid w:val="0"/>
              <w:spacing w:line="360" w:lineRule="auto"/>
              <w:jc w:val="left"/>
              <w:textAlignment w:val="center"/>
              <w:rPr>
                <w:szCs w:val="21"/>
              </w:rPr>
            </w:pPr>
            <w:r>
              <w:rPr>
                <w:rFonts w:hint="eastAsia" w:ascii="宋体" w:hAnsi="宋体" w:cs="宋体"/>
                <w:kern w:val="44"/>
                <w:szCs w:val="21"/>
              </w:rPr>
              <w:t>⑤锁具：电子密码锁，实现双人双锁管理。锁孔需防水处理，且可有效防止柜内外气体互换，防止腐蚀性气体进入腐蚀锁芯。密码锁具备震动报警功能，监测到非常规震动后可自动报警。</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实验凳</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10张</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textAlignment w:val="center"/>
              <w:rPr>
                <w:rFonts w:cs="宋体"/>
                <w:szCs w:val="21"/>
              </w:rPr>
            </w:pPr>
            <w:r>
              <w:rPr>
                <w:rFonts w:hint="eastAsia" w:cs="宋体"/>
                <w:szCs w:val="21"/>
              </w:rPr>
              <w:t>可升降圆凳，采用不锈钢底座，座面</w:t>
            </w:r>
            <w:r>
              <w:rPr>
                <w:rFonts w:hint="eastAsia"/>
                <w:szCs w:val="21"/>
              </w:rPr>
              <w:t>深蓝色。</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实验椅</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color w:val="000000"/>
                <w:szCs w:val="21"/>
              </w:rPr>
              <w:t>5张</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szCs w:val="21"/>
              </w:rPr>
            </w:pPr>
            <w:r>
              <w:rPr>
                <w:rFonts w:hint="eastAsia" w:cs="宋体"/>
                <w:szCs w:val="21"/>
              </w:rPr>
              <w:t>可升降带靠背，采用不锈钢底座，</w:t>
            </w:r>
            <w:r>
              <w:rPr>
                <w:rFonts w:hint="eastAsia"/>
                <w:szCs w:val="21"/>
              </w:rPr>
              <w:t>奶油色或桃色。</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有门吊柜（413教授办公室东墙）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尺寸：2500*350*700mm</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kern w:val="0"/>
                <w:szCs w:val="21"/>
              </w:rPr>
              <w:t>①饰面：</w:t>
            </w:r>
            <w:r>
              <w:rPr>
                <w:rFonts w:hint="eastAsia" w:ascii="宋体" w:hAnsi="宋体" w:cs="宋体"/>
                <w:color w:val="000000"/>
                <w:kern w:val="0"/>
                <w:szCs w:val="21"/>
              </w:rPr>
              <w:t>三聚氰胺饰面板，厚度4-5mm。</w:t>
            </w:r>
          </w:p>
          <w:p>
            <w:pPr>
              <w:widowControl/>
              <w:adjustRightInd w:val="0"/>
              <w:snapToGrid w:val="0"/>
              <w:spacing w:line="360" w:lineRule="auto"/>
              <w:jc w:val="left"/>
              <w:textAlignment w:val="center"/>
              <w:rPr>
                <w:color w:val="000000"/>
                <w:szCs w:val="21"/>
              </w:rPr>
            </w:pPr>
            <w:r>
              <w:rPr>
                <w:rFonts w:hint="eastAsia" w:ascii="宋体" w:hAnsi="宋体" w:cs="宋体"/>
                <w:color w:val="000000"/>
                <w:kern w:val="0"/>
                <w:szCs w:val="21"/>
              </w:rPr>
              <w:t>②基材为E1级绿色环保防火板，</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③封边：2MM厚PVC同色封边。</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④</w:t>
            </w:r>
            <w:r>
              <w:rPr>
                <w:rFonts w:ascii="宋体" w:hAnsi="宋体" w:cs="宋体"/>
                <w:color w:val="000000"/>
                <w:kern w:val="0"/>
                <w:szCs w:val="21"/>
              </w:rPr>
              <w:t>所有金属</w:t>
            </w:r>
            <w:r>
              <w:rPr>
                <w:rFonts w:hint="eastAsia" w:ascii="宋体" w:hAnsi="宋体" w:cs="宋体"/>
                <w:color w:val="000000"/>
                <w:kern w:val="0"/>
                <w:szCs w:val="21"/>
              </w:rPr>
              <w:t>配件需符合相应国家标准。</w:t>
            </w:r>
          </w:p>
          <w:p>
            <w:pPr>
              <w:widowControl/>
              <w:adjustRightInd w:val="0"/>
              <w:snapToGrid w:val="0"/>
              <w:spacing w:line="360" w:lineRule="auto"/>
              <w:jc w:val="left"/>
              <w:textAlignment w:val="center"/>
              <w:rPr>
                <w:szCs w:val="21"/>
              </w:rPr>
            </w:pPr>
            <w:r>
              <w:rPr>
                <w:rFonts w:hint="eastAsia"/>
                <w:szCs w:val="21"/>
              </w:rPr>
              <w:t>⑤柜内层数：两层，柜内每层</w:t>
            </w:r>
            <w:r>
              <w:rPr>
                <w:rFonts w:hint="eastAsia" w:ascii="宋体" w:hAnsi="宋体"/>
                <w:szCs w:val="21"/>
              </w:rPr>
              <w:t>350mm</w:t>
            </w:r>
            <w:r>
              <w:rPr>
                <w:rFonts w:hint="eastAsia"/>
                <w:szCs w:val="21"/>
              </w:rPr>
              <w:t>高，带锁柜门。</w:t>
            </w:r>
          </w:p>
          <w:p>
            <w:pPr>
              <w:widowControl/>
              <w:adjustRightInd w:val="0"/>
              <w:snapToGrid w:val="0"/>
              <w:spacing w:line="360" w:lineRule="auto"/>
              <w:jc w:val="left"/>
              <w:textAlignment w:val="center"/>
              <w:rPr>
                <w:szCs w:val="21"/>
              </w:rPr>
            </w:pPr>
            <w:r>
              <w:rPr>
                <w:rFonts w:hint="eastAsia"/>
                <w:szCs w:val="21"/>
              </w:rPr>
              <w:t>⑥整体浅色系，如奶油色、象牙色、乳白色等。</w:t>
            </w:r>
          </w:p>
          <w:p>
            <w:pPr>
              <w:widowControl/>
              <w:adjustRightInd w:val="0"/>
              <w:snapToGrid w:val="0"/>
              <w:spacing w:line="360" w:lineRule="auto"/>
              <w:jc w:val="left"/>
              <w:textAlignment w:val="center"/>
              <w:rPr>
                <w:rFonts w:ascii="宋体" w:hAnsi="宋体" w:cs="宋体"/>
                <w:color w:val="000000"/>
                <w:szCs w:val="21"/>
              </w:rPr>
            </w:pPr>
            <w:r>
              <w:rPr>
                <w:rFonts w:hint="eastAsia"/>
                <w:szCs w:val="21"/>
              </w:rPr>
              <w:t>⑦</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办公桌（413办公室外间）</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3张</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尺寸：</w:t>
            </w:r>
            <w:r>
              <w:rPr>
                <w:rFonts w:hint="eastAsia" w:ascii="宋体" w:hAnsi="宋体" w:cs="宋体"/>
                <w:color w:val="000000"/>
                <w:kern w:val="0"/>
                <w:szCs w:val="21"/>
              </w:rPr>
              <w:t>1800*800*800mm</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color w:val="000000"/>
                <w:kern w:val="0"/>
                <w:szCs w:val="21"/>
              </w:rPr>
              <w:t>①台面和桌体采用三聚氰胺饰面板，厚度4-5mm。基材为E1级绿色环保防火板，</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。最终</w:t>
            </w:r>
            <w:r>
              <w:rPr>
                <w:rFonts w:hint="eastAsia" w:ascii="宋体" w:hAnsi="宋体" w:cs="宋体"/>
                <w:color w:val="000000"/>
                <w:kern w:val="0"/>
                <w:szCs w:val="21"/>
              </w:rPr>
              <w:t>台面厚度25-30mm。</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②屏风面料：每张桌子配1.5m高屏风隔断，耐磨性强，阻燃，经防污处理，清洁方便。</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③封边：2MM厚PVC同色封边。</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④走线功能：铝合金踢脚线带强、弱电走线槽，能将所有电线隐蔽。踢脚线左右两侧各预留一个强弱电插座孔位。</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⑤三斗活动柜：每个办公桌配2个活动推柜，可锁，三层，上两层为普通抽屉，第三层为文件抽屉柜。采用三聚氰胺饰面板,</w:t>
            </w:r>
            <w:r>
              <w:rPr>
                <w:rFonts w:hint="eastAsia" w:ascii="宋体" w:hAnsi="宋体" w:cs="宋体"/>
                <w:color w:val="000000"/>
                <w:kern w:val="0"/>
                <w:szCs w:val="21"/>
              </w:rPr>
              <w:t>基材为E1级绿色环保防火板，</w:t>
            </w:r>
            <w:r>
              <w:rPr>
                <w:rFonts w:hint="eastAsia" w:ascii="宋体" w:hAnsi="宋体"/>
                <w:color w:val="000000"/>
                <w:szCs w:val="21"/>
              </w:rPr>
              <w:t>密度在</w:t>
            </w:r>
            <w:r>
              <w:rPr>
                <w:rFonts w:hint="eastAsia"/>
                <w:color w:val="000000"/>
                <w:szCs w:val="21"/>
              </w:rPr>
              <w:t>700-800kg/m</w:t>
            </w:r>
            <w:r>
              <w:rPr>
                <w:rFonts w:hint="eastAsia"/>
                <w:color w:val="000000"/>
                <w:szCs w:val="21"/>
                <w:vertAlign w:val="superscript"/>
              </w:rPr>
              <w:t>3</w:t>
            </w:r>
            <w:r>
              <w:rPr>
                <w:rFonts w:hint="eastAsia"/>
                <w:color w:val="000000"/>
                <w:szCs w:val="21"/>
              </w:rPr>
              <w:t>。</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⑥</w:t>
            </w:r>
            <w:r>
              <w:rPr>
                <w:rFonts w:ascii="宋体" w:hAnsi="宋体" w:cs="宋体"/>
                <w:szCs w:val="21"/>
              </w:rPr>
              <w:t>铰链、滑</w:t>
            </w:r>
            <w:r>
              <w:rPr>
                <w:rFonts w:hint="eastAsia" w:ascii="宋体" w:hAnsi="宋体" w:cs="宋体"/>
                <w:szCs w:val="21"/>
              </w:rPr>
              <w:t>轨等金属配件需符合相应国家标准。</w:t>
            </w:r>
          </w:p>
          <w:p>
            <w:pPr>
              <w:widowControl/>
              <w:adjustRightInd w:val="0"/>
              <w:snapToGrid w:val="0"/>
              <w:spacing w:line="360" w:lineRule="auto"/>
              <w:jc w:val="left"/>
              <w:textAlignment w:val="center"/>
              <w:rPr>
                <w:szCs w:val="21"/>
              </w:rPr>
            </w:pPr>
            <w:r>
              <w:rPr>
                <w:rFonts w:hint="eastAsia" w:ascii="宋体" w:hAnsi="宋体"/>
                <w:szCs w:val="21"/>
              </w:rPr>
              <w:t>⑦</w:t>
            </w:r>
            <w:r>
              <w:rPr>
                <w:rFonts w:hint="eastAsia"/>
                <w:szCs w:val="21"/>
              </w:rPr>
              <w:t>整体浅色系，如奶油色、象牙色、乳白色等。</w:t>
            </w:r>
          </w:p>
          <w:p>
            <w:pPr>
              <w:widowControl/>
              <w:adjustRightInd w:val="0"/>
              <w:snapToGrid w:val="0"/>
              <w:spacing w:line="360" w:lineRule="auto"/>
              <w:jc w:val="left"/>
              <w:textAlignment w:val="center"/>
              <w:rPr>
                <w:rFonts w:ascii="宋体" w:hAnsi="宋体" w:cs="宋体"/>
                <w:szCs w:val="21"/>
              </w:rPr>
            </w:pPr>
            <w:r>
              <w:rPr>
                <w:rFonts w:hint="eastAsia"/>
                <w:szCs w:val="21"/>
              </w:rPr>
              <w:t>⑧</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办公桌（415实验室外间）</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3张</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尺寸：</w:t>
            </w:r>
            <w:r>
              <w:rPr>
                <w:rFonts w:hint="eastAsia" w:ascii="宋体" w:hAnsi="宋体" w:cs="宋体"/>
                <w:color w:val="000000"/>
                <w:kern w:val="0"/>
                <w:szCs w:val="21"/>
              </w:rPr>
              <w:t>1500*800*800mm</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color w:val="000000"/>
                <w:kern w:val="0"/>
                <w:szCs w:val="21"/>
              </w:rPr>
              <w:t>①台面和桌体采用三聚氰胺饰面板，厚度4-5mm。基材为E1级绿色环保防火板，②</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。最终</w:t>
            </w:r>
            <w:r>
              <w:rPr>
                <w:rFonts w:hint="eastAsia" w:ascii="宋体" w:hAnsi="宋体" w:cs="宋体"/>
                <w:color w:val="000000"/>
                <w:kern w:val="0"/>
                <w:szCs w:val="21"/>
              </w:rPr>
              <w:t>台面厚度25-30mm。</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③屏风面料：每张桌子配1.5m高屏风隔断，耐磨性强，阻燃，经防污处理，清洁方便。</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④封边：2MM厚PVC同色封边。</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⑤走线功能：铝合金踢脚线带强、弱电走线槽，能将所有电线隐蔽。踢脚线左右两侧各预留一个强弱电插座孔位。</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⑥配套活动推柜：每个办公桌配2个活动推柜，可锁，三层，上两层为普通抽屉，第三层为文件抽屉柜。采用三聚氰胺饰面板,</w:t>
            </w:r>
            <w:r>
              <w:rPr>
                <w:rFonts w:hint="eastAsia" w:ascii="宋体" w:hAnsi="宋体" w:cs="宋体"/>
                <w:color w:val="000000"/>
                <w:kern w:val="0"/>
                <w:szCs w:val="21"/>
              </w:rPr>
              <w:t>基材为E1级绿色环保防火板，</w:t>
            </w:r>
            <w:r>
              <w:rPr>
                <w:rFonts w:hint="eastAsia" w:ascii="宋体" w:hAnsi="宋体"/>
                <w:color w:val="000000"/>
                <w:szCs w:val="21"/>
              </w:rPr>
              <w:t>密度在</w:t>
            </w:r>
            <w:r>
              <w:rPr>
                <w:rFonts w:hint="eastAsia"/>
                <w:color w:val="000000"/>
                <w:szCs w:val="21"/>
              </w:rPr>
              <w:t>700-800kg/m</w:t>
            </w:r>
            <w:r>
              <w:rPr>
                <w:rFonts w:hint="eastAsia"/>
                <w:color w:val="000000"/>
                <w:szCs w:val="21"/>
                <w:vertAlign w:val="superscript"/>
              </w:rPr>
              <w:t>3</w:t>
            </w:r>
            <w:r>
              <w:rPr>
                <w:rFonts w:hint="eastAsia" w:ascii="宋体" w:hAnsi="宋体" w:cs="宋体"/>
                <w:color w:val="000000"/>
                <w:kern w:val="0"/>
                <w:szCs w:val="21"/>
              </w:rPr>
              <w:t>。</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⑦</w:t>
            </w:r>
            <w:r>
              <w:rPr>
                <w:rFonts w:ascii="宋体" w:hAnsi="宋体" w:cs="宋体"/>
                <w:szCs w:val="21"/>
              </w:rPr>
              <w:t>铰链、滑</w:t>
            </w:r>
            <w:r>
              <w:rPr>
                <w:rFonts w:hint="eastAsia" w:ascii="宋体" w:hAnsi="宋体" w:cs="宋体"/>
                <w:szCs w:val="21"/>
              </w:rPr>
              <w:t>轨等金属配件需符合相应国家标准。</w:t>
            </w:r>
          </w:p>
          <w:p>
            <w:pPr>
              <w:widowControl/>
              <w:adjustRightInd w:val="0"/>
              <w:snapToGrid w:val="0"/>
              <w:spacing w:line="360" w:lineRule="auto"/>
              <w:jc w:val="left"/>
              <w:textAlignment w:val="center"/>
              <w:rPr>
                <w:szCs w:val="21"/>
              </w:rPr>
            </w:pPr>
            <w:r>
              <w:rPr>
                <w:rFonts w:hint="eastAsia" w:ascii="宋体" w:hAnsi="宋体"/>
                <w:szCs w:val="21"/>
              </w:rPr>
              <w:t>⑧</w:t>
            </w:r>
            <w:r>
              <w:rPr>
                <w:rFonts w:hint="eastAsia"/>
                <w:szCs w:val="21"/>
              </w:rPr>
              <w:t>整体浅色系，如奶油色、象牙色、乳白色等。</w:t>
            </w:r>
          </w:p>
          <w:p>
            <w:pPr>
              <w:widowControl/>
              <w:adjustRightInd w:val="0"/>
              <w:snapToGrid w:val="0"/>
              <w:spacing w:line="360" w:lineRule="auto"/>
              <w:jc w:val="left"/>
              <w:textAlignment w:val="center"/>
              <w:rPr>
                <w:rFonts w:ascii="宋体" w:hAnsi="宋体" w:cs="宋体"/>
                <w:color w:val="000000"/>
                <w:kern w:val="0"/>
                <w:szCs w:val="21"/>
              </w:rPr>
            </w:pPr>
            <w:r>
              <w:rPr>
                <w:rFonts w:hint="eastAsia"/>
                <w:szCs w:val="21"/>
              </w:rPr>
              <w:t>⑨</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10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无门吊柜（415实验室外间东墙）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尺寸：3400*350*700mm，</w:t>
            </w:r>
            <w:r>
              <w:rPr>
                <w:rFonts w:hint="eastAsia"/>
                <w:szCs w:val="21"/>
              </w:rPr>
              <w:t>两层，柜内每层</w:t>
            </w:r>
            <w:r>
              <w:rPr>
                <w:rFonts w:hint="eastAsia" w:ascii="宋体" w:hAnsi="宋体"/>
                <w:szCs w:val="21"/>
              </w:rPr>
              <w:t>350mm</w:t>
            </w:r>
            <w:r>
              <w:rPr>
                <w:rFonts w:hint="eastAsia"/>
                <w:szCs w:val="21"/>
              </w:rPr>
              <w:t>高。</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kern w:val="0"/>
                <w:szCs w:val="21"/>
              </w:rPr>
              <w:t>①饰面：</w:t>
            </w:r>
            <w:r>
              <w:rPr>
                <w:rFonts w:hint="eastAsia" w:ascii="宋体" w:hAnsi="宋体" w:cs="宋体"/>
                <w:color w:val="000000"/>
                <w:kern w:val="0"/>
                <w:szCs w:val="21"/>
              </w:rPr>
              <w:t>三聚氰胺饰面板，厚度4-5mm。</w:t>
            </w:r>
          </w:p>
          <w:p>
            <w:pPr>
              <w:widowControl/>
              <w:adjustRightInd w:val="0"/>
              <w:snapToGrid w:val="0"/>
              <w:spacing w:line="360" w:lineRule="auto"/>
              <w:jc w:val="left"/>
              <w:textAlignment w:val="center"/>
              <w:rPr>
                <w:color w:val="000000"/>
                <w:szCs w:val="21"/>
              </w:rPr>
            </w:pPr>
            <w:r>
              <w:rPr>
                <w:rFonts w:hint="eastAsia" w:ascii="宋体" w:hAnsi="宋体" w:cs="宋体"/>
                <w:color w:val="000000"/>
                <w:kern w:val="0"/>
                <w:szCs w:val="21"/>
              </w:rPr>
              <w:t>②基材为E1级绿色环保防火板，</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③封边：2MM厚PVC同色封边。</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④</w:t>
            </w:r>
            <w:r>
              <w:rPr>
                <w:rFonts w:ascii="宋体" w:hAnsi="宋体" w:cs="宋体"/>
                <w:color w:val="000000"/>
                <w:kern w:val="0"/>
                <w:szCs w:val="21"/>
              </w:rPr>
              <w:t>所有金属</w:t>
            </w:r>
            <w:r>
              <w:rPr>
                <w:rFonts w:hint="eastAsia" w:ascii="宋体" w:hAnsi="宋体" w:cs="宋体"/>
                <w:color w:val="000000"/>
                <w:kern w:val="0"/>
                <w:szCs w:val="21"/>
              </w:rPr>
              <w:t>配件需符合相应国家标准。</w:t>
            </w:r>
          </w:p>
          <w:p>
            <w:pPr>
              <w:widowControl/>
              <w:adjustRightInd w:val="0"/>
              <w:snapToGrid w:val="0"/>
              <w:spacing w:line="360" w:lineRule="auto"/>
              <w:jc w:val="left"/>
              <w:textAlignment w:val="center"/>
              <w:rPr>
                <w:szCs w:val="21"/>
              </w:rPr>
            </w:pPr>
            <w:r>
              <w:rPr>
                <w:rFonts w:hint="eastAsia"/>
                <w:szCs w:val="21"/>
              </w:rPr>
              <w:t>⑤柜内层数：两层，柜内每层</w:t>
            </w:r>
            <w:r>
              <w:rPr>
                <w:rFonts w:hint="eastAsia" w:ascii="宋体" w:hAnsi="宋体"/>
                <w:szCs w:val="21"/>
              </w:rPr>
              <w:t>350mm</w:t>
            </w:r>
            <w:r>
              <w:rPr>
                <w:rFonts w:hint="eastAsia"/>
                <w:szCs w:val="21"/>
              </w:rPr>
              <w:t>高。</w:t>
            </w:r>
          </w:p>
          <w:p>
            <w:pPr>
              <w:widowControl/>
              <w:adjustRightInd w:val="0"/>
              <w:snapToGrid w:val="0"/>
              <w:spacing w:line="360" w:lineRule="auto"/>
              <w:jc w:val="left"/>
              <w:textAlignment w:val="center"/>
              <w:rPr>
                <w:szCs w:val="21"/>
              </w:rPr>
            </w:pPr>
            <w:r>
              <w:rPr>
                <w:rFonts w:hint="eastAsia"/>
                <w:szCs w:val="21"/>
              </w:rPr>
              <w:t>⑥整体浅色系，如奶油色、象牙色、乳白色等。</w:t>
            </w:r>
          </w:p>
          <w:p>
            <w:pPr>
              <w:widowControl/>
              <w:adjustRightInd w:val="0"/>
              <w:snapToGrid w:val="0"/>
              <w:spacing w:line="360" w:lineRule="auto"/>
              <w:jc w:val="left"/>
              <w:textAlignment w:val="center"/>
              <w:rPr>
                <w:rFonts w:ascii="宋体" w:hAnsi="宋体" w:cs="宋体"/>
                <w:kern w:val="0"/>
                <w:szCs w:val="21"/>
              </w:rPr>
            </w:pPr>
            <w:r>
              <w:rPr>
                <w:rFonts w:hint="eastAsia"/>
                <w:szCs w:val="21"/>
              </w:rPr>
              <w:t>⑦</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10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无门吊柜（415实验室外间北墙）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尺寸：1600*350*700mm，</w:t>
            </w:r>
            <w:r>
              <w:rPr>
                <w:rFonts w:hint="eastAsia"/>
                <w:szCs w:val="21"/>
              </w:rPr>
              <w:t>两层，柜内每层</w:t>
            </w:r>
            <w:r>
              <w:rPr>
                <w:rFonts w:hint="eastAsia" w:ascii="宋体" w:hAnsi="宋体"/>
                <w:szCs w:val="21"/>
              </w:rPr>
              <w:t>350mm</w:t>
            </w:r>
            <w:r>
              <w:rPr>
                <w:rFonts w:hint="eastAsia"/>
                <w:szCs w:val="21"/>
              </w:rPr>
              <w:t>高。</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kern w:val="0"/>
                <w:szCs w:val="21"/>
              </w:rPr>
              <w:t>①饰面：</w:t>
            </w:r>
            <w:r>
              <w:rPr>
                <w:rFonts w:hint="eastAsia" w:ascii="宋体" w:hAnsi="宋体" w:cs="宋体"/>
                <w:color w:val="000000"/>
                <w:kern w:val="0"/>
                <w:szCs w:val="21"/>
              </w:rPr>
              <w:t>三聚氰胺饰面板，厚度4-5mm。</w:t>
            </w:r>
          </w:p>
          <w:p>
            <w:pPr>
              <w:widowControl/>
              <w:adjustRightInd w:val="0"/>
              <w:snapToGrid w:val="0"/>
              <w:spacing w:line="360" w:lineRule="auto"/>
              <w:jc w:val="left"/>
              <w:textAlignment w:val="center"/>
              <w:rPr>
                <w:color w:val="000000"/>
                <w:szCs w:val="21"/>
              </w:rPr>
            </w:pPr>
            <w:r>
              <w:rPr>
                <w:rFonts w:hint="eastAsia" w:ascii="宋体" w:hAnsi="宋体" w:cs="宋体"/>
                <w:color w:val="000000"/>
                <w:kern w:val="0"/>
                <w:szCs w:val="21"/>
              </w:rPr>
              <w:t>②基材为E1级绿色环保防火板，</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③封边：2MM厚PVC同色封边。</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④</w:t>
            </w:r>
            <w:r>
              <w:rPr>
                <w:rFonts w:ascii="宋体" w:hAnsi="宋体" w:cs="宋体"/>
                <w:color w:val="000000"/>
                <w:kern w:val="0"/>
                <w:szCs w:val="21"/>
              </w:rPr>
              <w:t>所有金属</w:t>
            </w:r>
            <w:r>
              <w:rPr>
                <w:rFonts w:hint="eastAsia" w:ascii="宋体" w:hAnsi="宋体" w:cs="宋体"/>
                <w:color w:val="000000"/>
                <w:kern w:val="0"/>
                <w:szCs w:val="21"/>
              </w:rPr>
              <w:t>配件需符合相应国家标准。</w:t>
            </w:r>
          </w:p>
          <w:p>
            <w:pPr>
              <w:widowControl/>
              <w:adjustRightInd w:val="0"/>
              <w:snapToGrid w:val="0"/>
              <w:spacing w:line="360" w:lineRule="auto"/>
              <w:jc w:val="left"/>
              <w:textAlignment w:val="center"/>
              <w:rPr>
                <w:szCs w:val="21"/>
              </w:rPr>
            </w:pPr>
            <w:r>
              <w:rPr>
                <w:rFonts w:hint="eastAsia"/>
                <w:szCs w:val="21"/>
              </w:rPr>
              <w:t>⑤柜内层数：两层，柜内每层</w:t>
            </w:r>
            <w:r>
              <w:rPr>
                <w:rFonts w:hint="eastAsia" w:ascii="宋体" w:hAnsi="宋体"/>
                <w:szCs w:val="21"/>
              </w:rPr>
              <w:t>350mm</w:t>
            </w:r>
            <w:r>
              <w:rPr>
                <w:rFonts w:hint="eastAsia"/>
                <w:szCs w:val="21"/>
              </w:rPr>
              <w:t>高。</w:t>
            </w:r>
          </w:p>
          <w:p>
            <w:pPr>
              <w:widowControl/>
              <w:adjustRightInd w:val="0"/>
              <w:snapToGrid w:val="0"/>
              <w:spacing w:line="360" w:lineRule="auto"/>
              <w:jc w:val="left"/>
              <w:textAlignment w:val="center"/>
              <w:rPr>
                <w:szCs w:val="21"/>
              </w:rPr>
            </w:pPr>
            <w:r>
              <w:rPr>
                <w:rFonts w:hint="eastAsia"/>
                <w:szCs w:val="21"/>
              </w:rPr>
              <w:t>⑥整体浅色系，如奶油色、象牙色、乳白色等。</w:t>
            </w:r>
          </w:p>
          <w:p>
            <w:pPr>
              <w:widowControl/>
              <w:adjustRightInd w:val="0"/>
              <w:snapToGrid w:val="0"/>
              <w:spacing w:line="360" w:lineRule="auto"/>
              <w:jc w:val="left"/>
              <w:textAlignment w:val="center"/>
              <w:rPr>
                <w:rFonts w:ascii="宋体" w:hAnsi="宋体" w:cs="宋体"/>
                <w:kern w:val="0"/>
                <w:szCs w:val="21"/>
              </w:rPr>
            </w:pPr>
            <w:r>
              <w:rPr>
                <w:rFonts w:hint="eastAsia"/>
                <w:szCs w:val="21"/>
              </w:rPr>
              <w:t>⑦</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10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无门吊柜（413教授办公室西墙）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尺寸：3240*350*700mm，</w:t>
            </w:r>
            <w:r>
              <w:rPr>
                <w:rFonts w:hint="eastAsia"/>
                <w:szCs w:val="21"/>
              </w:rPr>
              <w:t>两层，柜内每层</w:t>
            </w:r>
            <w:r>
              <w:rPr>
                <w:rFonts w:hint="eastAsia" w:ascii="宋体" w:hAnsi="宋体"/>
                <w:szCs w:val="21"/>
              </w:rPr>
              <w:t>350mm</w:t>
            </w:r>
            <w:r>
              <w:rPr>
                <w:rFonts w:hint="eastAsia"/>
                <w:szCs w:val="21"/>
              </w:rPr>
              <w:t>高。</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kern w:val="0"/>
                <w:szCs w:val="21"/>
              </w:rPr>
              <w:t>①饰面：</w:t>
            </w:r>
            <w:r>
              <w:rPr>
                <w:rFonts w:hint="eastAsia" w:ascii="宋体" w:hAnsi="宋体" w:cs="宋体"/>
                <w:color w:val="000000"/>
                <w:kern w:val="0"/>
                <w:szCs w:val="21"/>
              </w:rPr>
              <w:t>三聚氰胺饰面板，厚度4-5mm。</w:t>
            </w:r>
          </w:p>
          <w:p>
            <w:pPr>
              <w:widowControl/>
              <w:adjustRightInd w:val="0"/>
              <w:snapToGrid w:val="0"/>
              <w:spacing w:line="360" w:lineRule="auto"/>
              <w:jc w:val="left"/>
              <w:textAlignment w:val="center"/>
              <w:rPr>
                <w:color w:val="000000"/>
                <w:szCs w:val="21"/>
              </w:rPr>
            </w:pPr>
            <w:r>
              <w:rPr>
                <w:rFonts w:hint="eastAsia" w:ascii="宋体" w:hAnsi="宋体" w:cs="宋体"/>
                <w:color w:val="000000"/>
                <w:kern w:val="0"/>
                <w:szCs w:val="21"/>
              </w:rPr>
              <w:t>②基材为E1级绿色环保防火板，</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③封边：2MM厚PVC同色封边。</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④</w:t>
            </w:r>
            <w:r>
              <w:rPr>
                <w:rFonts w:ascii="宋体" w:hAnsi="宋体" w:cs="宋体"/>
                <w:color w:val="000000"/>
                <w:kern w:val="0"/>
                <w:szCs w:val="21"/>
              </w:rPr>
              <w:t>所有金属</w:t>
            </w:r>
            <w:r>
              <w:rPr>
                <w:rFonts w:hint="eastAsia" w:ascii="宋体" w:hAnsi="宋体" w:cs="宋体"/>
                <w:color w:val="000000"/>
                <w:kern w:val="0"/>
                <w:szCs w:val="21"/>
              </w:rPr>
              <w:t>配件需符合相应国家标准。</w:t>
            </w:r>
          </w:p>
          <w:p>
            <w:pPr>
              <w:widowControl/>
              <w:adjustRightInd w:val="0"/>
              <w:snapToGrid w:val="0"/>
              <w:spacing w:line="360" w:lineRule="auto"/>
              <w:jc w:val="left"/>
              <w:textAlignment w:val="center"/>
              <w:rPr>
                <w:szCs w:val="21"/>
              </w:rPr>
            </w:pPr>
            <w:r>
              <w:rPr>
                <w:rFonts w:hint="eastAsia"/>
                <w:szCs w:val="21"/>
              </w:rPr>
              <w:t>⑤柜内层数：两层，柜内每层</w:t>
            </w:r>
            <w:r>
              <w:rPr>
                <w:rFonts w:hint="eastAsia" w:ascii="宋体" w:hAnsi="宋体"/>
                <w:szCs w:val="21"/>
              </w:rPr>
              <w:t>350mm</w:t>
            </w:r>
            <w:r>
              <w:rPr>
                <w:rFonts w:hint="eastAsia"/>
                <w:szCs w:val="21"/>
              </w:rPr>
              <w:t>高。</w:t>
            </w:r>
          </w:p>
          <w:p>
            <w:pPr>
              <w:widowControl/>
              <w:adjustRightInd w:val="0"/>
              <w:snapToGrid w:val="0"/>
              <w:spacing w:line="360" w:lineRule="auto"/>
              <w:jc w:val="left"/>
              <w:textAlignment w:val="center"/>
              <w:rPr>
                <w:szCs w:val="21"/>
              </w:rPr>
            </w:pPr>
            <w:r>
              <w:rPr>
                <w:rFonts w:hint="eastAsia"/>
                <w:szCs w:val="21"/>
              </w:rPr>
              <w:t>⑥整体浅色系，如奶油色、象牙色、乳白色等。</w:t>
            </w:r>
          </w:p>
          <w:p>
            <w:pPr>
              <w:widowControl/>
              <w:adjustRightInd w:val="0"/>
              <w:snapToGrid w:val="0"/>
              <w:spacing w:line="360" w:lineRule="auto"/>
              <w:jc w:val="left"/>
              <w:textAlignment w:val="center"/>
              <w:rPr>
                <w:rFonts w:ascii="宋体" w:hAnsi="宋体" w:cs="宋体"/>
                <w:kern w:val="0"/>
                <w:szCs w:val="21"/>
              </w:rPr>
            </w:pPr>
            <w:r>
              <w:rPr>
                <w:rFonts w:hint="eastAsia"/>
                <w:szCs w:val="21"/>
              </w:rPr>
              <w:t>⑦</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10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无门吊柜（413教授办公室外间东墙）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尺寸：2800*350*700mm，</w:t>
            </w:r>
            <w:r>
              <w:rPr>
                <w:rFonts w:hint="eastAsia"/>
                <w:szCs w:val="21"/>
              </w:rPr>
              <w:t>两层，柜内每层</w:t>
            </w:r>
            <w:r>
              <w:rPr>
                <w:rFonts w:hint="eastAsia" w:ascii="宋体" w:hAnsi="宋体"/>
                <w:szCs w:val="21"/>
              </w:rPr>
              <w:t>350mm</w:t>
            </w:r>
            <w:r>
              <w:rPr>
                <w:rFonts w:hint="eastAsia"/>
                <w:szCs w:val="21"/>
              </w:rPr>
              <w:t>高。</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kern w:val="0"/>
                <w:szCs w:val="21"/>
              </w:rPr>
              <w:t>①饰面：</w:t>
            </w:r>
            <w:r>
              <w:rPr>
                <w:rFonts w:hint="eastAsia" w:ascii="宋体" w:hAnsi="宋体" w:cs="宋体"/>
                <w:color w:val="000000"/>
                <w:kern w:val="0"/>
                <w:szCs w:val="21"/>
              </w:rPr>
              <w:t>三聚氰胺饰面板，厚度4-5mm。</w:t>
            </w:r>
          </w:p>
          <w:p>
            <w:pPr>
              <w:widowControl/>
              <w:adjustRightInd w:val="0"/>
              <w:snapToGrid w:val="0"/>
              <w:spacing w:line="360" w:lineRule="auto"/>
              <w:jc w:val="left"/>
              <w:textAlignment w:val="center"/>
              <w:rPr>
                <w:color w:val="000000"/>
                <w:szCs w:val="21"/>
              </w:rPr>
            </w:pPr>
            <w:r>
              <w:rPr>
                <w:rFonts w:hint="eastAsia" w:ascii="宋体" w:hAnsi="宋体" w:cs="宋体"/>
                <w:color w:val="000000"/>
                <w:kern w:val="0"/>
                <w:szCs w:val="21"/>
              </w:rPr>
              <w:t>②基材为E1级绿色环保防火板，</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③封边：2MM厚PVC同色封边。</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④</w:t>
            </w:r>
            <w:r>
              <w:rPr>
                <w:rFonts w:ascii="宋体" w:hAnsi="宋体" w:cs="宋体"/>
                <w:color w:val="000000"/>
                <w:kern w:val="0"/>
                <w:szCs w:val="21"/>
              </w:rPr>
              <w:t>所有金属</w:t>
            </w:r>
            <w:r>
              <w:rPr>
                <w:rFonts w:hint="eastAsia" w:ascii="宋体" w:hAnsi="宋体" w:cs="宋体"/>
                <w:color w:val="000000"/>
                <w:kern w:val="0"/>
                <w:szCs w:val="21"/>
              </w:rPr>
              <w:t>配件需符合相应国家标准。</w:t>
            </w:r>
          </w:p>
          <w:p>
            <w:pPr>
              <w:widowControl/>
              <w:adjustRightInd w:val="0"/>
              <w:snapToGrid w:val="0"/>
              <w:spacing w:line="360" w:lineRule="auto"/>
              <w:jc w:val="left"/>
              <w:textAlignment w:val="center"/>
              <w:rPr>
                <w:szCs w:val="21"/>
              </w:rPr>
            </w:pPr>
            <w:r>
              <w:rPr>
                <w:rFonts w:hint="eastAsia"/>
                <w:szCs w:val="21"/>
              </w:rPr>
              <w:t>⑤柜内层数：两层，柜内每层</w:t>
            </w:r>
            <w:r>
              <w:rPr>
                <w:rFonts w:hint="eastAsia" w:ascii="宋体" w:hAnsi="宋体"/>
                <w:szCs w:val="21"/>
              </w:rPr>
              <w:t>350mm</w:t>
            </w:r>
            <w:r>
              <w:rPr>
                <w:rFonts w:hint="eastAsia"/>
                <w:szCs w:val="21"/>
              </w:rPr>
              <w:t>高。</w:t>
            </w:r>
          </w:p>
          <w:p>
            <w:pPr>
              <w:widowControl/>
              <w:adjustRightInd w:val="0"/>
              <w:snapToGrid w:val="0"/>
              <w:spacing w:line="360" w:lineRule="auto"/>
              <w:jc w:val="left"/>
              <w:textAlignment w:val="center"/>
              <w:rPr>
                <w:szCs w:val="21"/>
              </w:rPr>
            </w:pPr>
            <w:r>
              <w:rPr>
                <w:rFonts w:hint="eastAsia"/>
                <w:szCs w:val="21"/>
              </w:rPr>
              <w:t>⑥整体浅色系，如奶油色、象牙色、乳白色等。</w:t>
            </w:r>
          </w:p>
          <w:p>
            <w:pPr>
              <w:widowControl/>
              <w:adjustRightInd w:val="0"/>
              <w:snapToGrid w:val="0"/>
              <w:spacing w:line="360" w:lineRule="auto"/>
              <w:jc w:val="left"/>
              <w:textAlignment w:val="center"/>
              <w:rPr>
                <w:rFonts w:ascii="宋体" w:hAnsi="宋体" w:cs="宋体"/>
                <w:kern w:val="0"/>
                <w:szCs w:val="21"/>
              </w:rPr>
            </w:pPr>
            <w:r>
              <w:rPr>
                <w:rFonts w:hint="eastAsia"/>
                <w:szCs w:val="21"/>
              </w:rPr>
              <w:t>⑦</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10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无门吊柜（413教授办公室外间西墙）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kern w:val="0"/>
                <w:szCs w:val="21"/>
              </w:rPr>
            </w:pPr>
            <w:r>
              <w:rPr>
                <w:rFonts w:hint="eastAsia" w:ascii="宋体" w:hAnsi="宋体" w:cs="宋体"/>
                <w:kern w:val="0"/>
                <w:szCs w:val="21"/>
              </w:rPr>
              <w:t>尺寸：4500*350*700mm，</w:t>
            </w:r>
            <w:r>
              <w:rPr>
                <w:rFonts w:hint="eastAsia"/>
                <w:szCs w:val="21"/>
              </w:rPr>
              <w:t>两层，柜内每层</w:t>
            </w:r>
            <w:r>
              <w:rPr>
                <w:rFonts w:hint="eastAsia" w:ascii="宋体" w:hAnsi="宋体"/>
                <w:szCs w:val="21"/>
              </w:rPr>
              <w:t>350mm</w:t>
            </w:r>
            <w:r>
              <w:rPr>
                <w:rFonts w:hint="eastAsia"/>
                <w:szCs w:val="21"/>
              </w:rPr>
              <w:t>高。</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kern w:val="0"/>
                <w:szCs w:val="21"/>
              </w:rPr>
              <w:t>①饰面：</w:t>
            </w:r>
            <w:r>
              <w:rPr>
                <w:rFonts w:hint="eastAsia" w:ascii="宋体" w:hAnsi="宋体" w:cs="宋体"/>
                <w:color w:val="000000"/>
                <w:kern w:val="0"/>
                <w:szCs w:val="21"/>
              </w:rPr>
              <w:t>三聚氰胺饰面板，厚度4-5mm。</w:t>
            </w:r>
          </w:p>
          <w:p>
            <w:pPr>
              <w:widowControl/>
              <w:adjustRightInd w:val="0"/>
              <w:snapToGrid w:val="0"/>
              <w:spacing w:line="360" w:lineRule="auto"/>
              <w:jc w:val="left"/>
              <w:textAlignment w:val="center"/>
              <w:rPr>
                <w:color w:val="000000"/>
                <w:szCs w:val="21"/>
              </w:rPr>
            </w:pPr>
            <w:r>
              <w:rPr>
                <w:rFonts w:hint="eastAsia" w:ascii="宋体" w:hAnsi="宋体" w:cs="宋体"/>
                <w:color w:val="000000"/>
                <w:kern w:val="0"/>
                <w:szCs w:val="21"/>
              </w:rPr>
              <w:t>②基材为E1级绿色环保防火板，</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③封边：2MM厚PVC同色封边。</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④</w:t>
            </w:r>
            <w:r>
              <w:rPr>
                <w:rFonts w:ascii="宋体" w:hAnsi="宋体" w:cs="宋体"/>
                <w:color w:val="000000"/>
                <w:kern w:val="0"/>
                <w:szCs w:val="21"/>
              </w:rPr>
              <w:t>所有金属</w:t>
            </w:r>
            <w:r>
              <w:rPr>
                <w:rFonts w:hint="eastAsia" w:ascii="宋体" w:hAnsi="宋体" w:cs="宋体"/>
                <w:color w:val="000000"/>
                <w:kern w:val="0"/>
                <w:szCs w:val="21"/>
              </w:rPr>
              <w:t>配件需符合相应国家标准。</w:t>
            </w:r>
          </w:p>
          <w:p>
            <w:pPr>
              <w:widowControl/>
              <w:adjustRightInd w:val="0"/>
              <w:snapToGrid w:val="0"/>
              <w:spacing w:line="360" w:lineRule="auto"/>
              <w:jc w:val="left"/>
              <w:textAlignment w:val="center"/>
              <w:rPr>
                <w:szCs w:val="21"/>
              </w:rPr>
            </w:pPr>
            <w:r>
              <w:rPr>
                <w:rFonts w:hint="eastAsia"/>
                <w:szCs w:val="21"/>
              </w:rPr>
              <w:t>⑤柜内层数：两层，柜内每层</w:t>
            </w:r>
            <w:r>
              <w:rPr>
                <w:rFonts w:hint="eastAsia" w:ascii="宋体" w:hAnsi="宋体"/>
                <w:szCs w:val="21"/>
              </w:rPr>
              <w:t>350mm</w:t>
            </w:r>
            <w:r>
              <w:rPr>
                <w:rFonts w:hint="eastAsia"/>
                <w:szCs w:val="21"/>
              </w:rPr>
              <w:t>高。</w:t>
            </w:r>
          </w:p>
          <w:p>
            <w:pPr>
              <w:widowControl/>
              <w:adjustRightInd w:val="0"/>
              <w:snapToGrid w:val="0"/>
              <w:spacing w:line="360" w:lineRule="auto"/>
              <w:jc w:val="left"/>
              <w:textAlignment w:val="center"/>
              <w:rPr>
                <w:szCs w:val="21"/>
              </w:rPr>
            </w:pPr>
            <w:r>
              <w:rPr>
                <w:rFonts w:hint="eastAsia"/>
                <w:szCs w:val="21"/>
              </w:rPr>
              <w:t>⑥整体浅色系，如奶油色、象牙色、乳白色等。</w:t>
            </w:r>
          </w:p>
          <w:p>
            <w:pPr>
              <w:widowControl/>
              <w:adjustRightInd w:val="0"/>
              <w:snapToGrid w:val="0"/>
              <w:spacing w:line="360" w:lineRule="auto"/>
              <w:jc w:val="left"/>
              <w:textAlignment w:val="center"/>
              <w:rPr>
                <w:rFonts w:ascii="宋体" w:hAnsi="宋体" w:cs="宋体"/>
                <w:kern w:val="0"/>
                <w:szCs w:val="21"/>
              </w:rPr>
            </w:pPr>
            <w:r>
              <w:rPr>
                <w:rFonts w:hint="eastAsia"/>
                <w:szCs w:val="21"/>
              </w:rPr>
              <w:t>⑦</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水吧台（413教授办公室外间靠东墙）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尺寸：2700*600*800mm</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color w:val="000000"/>
                <w:kern w:val="0"/>
                <w:szCs w:val="21"/>
              </w:rPr>
              <w:t>①台面和柜体采用三聚氰胺饰面板，厚度4-5mm。基材为E1级绿色环保防火板，</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。最终</w:t>
            </w:r>
            <w:r>
              <w:rPr>
                <w:rFonts w:hint="eastAsia" w:ascii="宋体" w:hAnsi="宋体" w:cs="宋体"/>
                <w:color w:val="000000"/>
                <w:kern w:val="0"/>
                <w:szCs w:val="21"/>
              </w:rPr>
              <w:t>台面厚度25-30mm。</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②封边：2MM厚PVC同色封边。</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③</w:t>
            </w:r>
            <w:r>
              <w:rPr>
                <w:rFonts w:ascii="宋体" w:hAnsi="宋体" w:cs="宋体"/>
                <w:szCs w:val="21"/>
              </w:rPr>
              <w:t>铰链、滑</w:t>
            </w:r>
            <w:r>
              <w:rPr>
                <w:rFonts w:hint="eastAsia" w:ascii="宋体" w:hAnsi="宋体" w:cs="宋体"/>
                <w:szCs w:val="21"/>
              </w:rPr>
              <w:t>轨等金属配件需符合相应国家标准。</w:t>
            </w:r>
          </w:p>
          <w:p>
            <w:pPr>
              <w:widowControl/>
              <w:adjustRightInd w:val="0"/>
              <w:snapToGrid w:val="0"/>
              <w:spacing w:line="360" w:lineRule="auto"/>
              <w:jc w:val="left"/>
              <w:textAlignment w:val="center"/>
              <w:rPr>
                <w:szCs w:val="21"/>
              </w:rPr>
            </w:pPr>
            <w:r>
              <w:rPr>
                <w:rFonts w:hint="eastAsia" w:ascii="宋体" w:hAnsi="宋体"/>
                <w:szCs w:val="21"/>
              </w:rPr>
              <w:t>④</w:t>
            </w:r>
            <w:r>
              <w:rPr>
                <w:rFonts w:hint="eastAsia"/>
                <w:szCs w:val="21"/>
              </w:rPr>
              <w:t>整体浅色系，如奶油色、象牙色、乳白色等。</w:t>
            </w:r>
          </w:p>
          <w:p>
            <w:pPr>
              <w:widowControl/>
              <w:adjustRightInd w:val="0"/>
              <w:snapToGrid w:val="0"/>
              <w:spacing w:line="360" w:lineRule="auto"/>
              <w:jc w:val="left"/>
              <w:textAlignment w:val="center"/>
              <w:rPr>
                <w:rFonts w:ascii="宋体" w:hAnsi="宋体" w:cs="宋体"/>
                <w:szCs w:val="21"/>
              </w:rPr>
            </w:pPr>
            <w:r>
              <w:rPr>
                <w:rFonts w:hint="eastAsia"/>
                <w:szCs w:val="21"/>
              </w:rPr>
              <w:t>⑤</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253"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定制办公桌（413教授办公室靠西北角）</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规格尺寸：</w:t>
            </w:r>
            <w:r>
              <w:rPr>
                <w:rFonts w:hint="eastAsia" w:ascii="宋体" w:hAnsi="宋体" w:cs="宋体"/>
                <w:color w:val="000000"/>
                <w:kern w:val="0"/>
                <w:szCs w:val="21"/>
              </w:rPr>
              <w:t>L型，3240*800*800+2700*800*800mm</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color w:val="000000"/>
                <w:kern w:val="0"/>
                <w:szCs w:val="21"/>
              </w:rPr>
              <w:t>①台面和桌体采用三聚氰胺饰面板，厚度4-5mm。基材为E1级绿色环保防火板，</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。最终</w:t>
            </w:r>
            <w:r>
              <w:rPr>
                <w:rFonts w:hint="eastAsia" w:ascii="宋体" w:hAnsi="宋体" w:cs="宋体"/>
                <w:color w:val="000000"/>
                <w:kern w:val="0"/>
                <w:szCs w:val="21"/>
              </w:rPr>
              <w:t>台面厚度25-30mm。</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②屏风面料：每张桌子配1.5m高屏风隔断，耐磨性强，阻燃，经防污处理，清洁方便。</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③封边：2MM厚PVC同色封边。</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④走线功能：铝合金踢脚线带强、弱电走线槽，能将所有电线隐蔽。踢脚线左右两侧各预留一个强弱电插座孔位。</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⑤配套活动推柜：配3个活动推柜，可锁，三层，上两层为普通抽屉，第三层为文件抽屉柜。采用三聚氰胺饰面板,</w:t>
            </w:r>
            <w:r>
              <w:rPr>
                <w:rFonts w:hint="eastAsia" w:ascii="宋体" w:hAnsi="宋体" w:cs="宋体"/>
                <w:color w:val="000000"/>
                <w:kern w:val="0"/>
                <w:szCs w:val="21"/>
              </w:rPr>
              <w:t>基材为E1级绿色环保防火板，厚度25-30mm，</w:t>
            </w:r>
            <w:r>
              <w:rPr>
                <w:rFonts w:hint="eastAsia" w:ascii="宋体" w:hAnsi="宋体"/>
                <w:color w:val="000000"/>
                <w:szCs w:val="21"/>
              </w:rPr>
              <w:t>密度在</w:t>
            </w:r>
            <w:r>
              <w:rPr>
                <w:rFonts w:hint="eastAsia"/>
                <w:color w:val="000000"/>
                <w:szCs w:val="21"/>
              </w:rPr>
              <w:t>700-800kg/m</w:t>
            </w:r>
            <w:r>
              <w:rPr>
                <w:rFonts w:hint="eastAsia"/>
                <w:color w:val="000000"/>
                <w:szCs w:val="21"/>
                <w:vertAlign w:val="superscript"/>
              </w:rPr>
              <w:t>3</w:t>
            </w:r>
            <w:r>
              <w:rPr>
                <w:rFonts w:hint="eastAsia"/>
                <w:color w:val="000000"/>
                <w:szCs w:val="21"/>
              </w:rPr>
              <w:t>，</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⑥铰链、滑轨等</w:t>
            </w:r>
            <w:r>
              <w:rPr>
                <w:rFonts w:cs="宋体"/>
                <w:color w:val="000000"/>
                <w:kern w:val="0"/>
                <w:szCs w:val="21"/>
              </w:rPr>
              <w:t>金属配件需符合相应国家标准</w:t>
            </w:r>
            <w:r>
              <w:rPr>
                <w:rFonts w:hint="eastAsia" w:ascii="宋体" w:hAnsi="宋体" w:cs="宋体"/>
                <w:szCs w:val="21"/>
              </w:rPr>
              <w:t>。</w:t>
            </w:r>
          </w:p>
          <w:p>
            <w:pPr>
              <w:widowControl/>
              <w:adjustRightInd w:val="0"/>
              <w:snapToGrid w:val="0"/>
              <w:spacing w:line="360" w:lineRule="auto"/>
              <w:jc w:val="left"/>
              <w:textAlignment w:val="center"/>
              <w:rPr>
                <w:szCs w:val="21"/>
              </w:rPr>
            </w:pPr>
            <w:r>
              <w:rPr>
                <w:rFonts w:hint="eastAsia" w:ascii="宋体" w:hAnsi="宋体"/>
                <w:szCs w:val="21"/>
              </w:rPr>
              <w:t>⑦</w:t>
            </w:r>
            <w:r>
              <w:rPr>
                <w:rFonts w:hint="eastAsia"/>
                <w:szCs w:val="21"/>
              </w:rPr>
              <w:t>内侧呈弧形，整体浅色系，如奶油色、象牙色、乳白色等。</w:t>
            </w:r>
          </w:p>
          <w:p>
            <w:pPr>
              <w:widowControl/>
              <w:adjustRightInd w:val="0"/>
              <w:snapToGrid w:val="0"/>
              <w:spacing w:line="360" w:lineRule="auto"/>
              <w:jc w:val="left"/>
              <w:textAlignment w:val="center"/>
              <w:rPr>
                <w:rFonts w:ascii="宋体" w:hAnsi="宋体" w:cs="宋体"/>
                <w:szCs w:val="21"/>
              </w:rPr>
            </w:pPr>
            <w:r>
              <w:rPr>
                <w:rFonts w:hint="eastAsia"/>
                <w:szCs w:val="21"/>
              </w:rPr>
              <w:t>⑧</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办公椅</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7张</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可升降带靠背，带滑轮，黑色。</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讨论桌（413教授办公室）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规格尺寸：</w:t>
            </w:r>
            <w:r>
              <w:rPr>
                <w:rFonts w:hint="eastAsia" w:ascii="宋体" w:hAnsi="宋体" w:cs="宋体"/>
                <w:color w:val="000000"/>
                <w:kern w:val="0"/>
                <w:szCs w:val="21"/>
              </w:rPr>
              <w:t>φ800*H800mm</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color w:val="000000"/>
                <w:kern w:val="0"/>
                <w:szCs w:val="21"/>
              </w:rPr>
              <w:t>①台面和柜体采用三聚氰胺饰面板，厚度4-5mm。基材为E1级绿色环保防火板，</w:t>
            </w:r>
            <w:r>
              <w:rPr>
                <w:rFonts w:hint="eastAsia" w:ascii="宋体" w:hAnsi="宋体"/>
                <w:color w:val="000000"/>
                <w:szCs w:val="21"/>
              </w:rPr>
              <w:t>密度</w:t>
            </w:r>
            <w:r>
              <w:rPr>
                <w:rFonts w:hint="eastAsia"/>
                <w:color w:val="000000"/>
                <w:szCs w:val="21"/>
              </w:rPr>
              <w:t>700-800kg/m</w:t>
            </w:r>
            <w:r>
              <w:rPr>
                <w:rFonts w:hint="eastAsia"/>
                <w:color w:val="000000"/>
                <w:szCs w:val="21"/>
                <w:vertAlign w:val="superscript"/>
              </w:rPr>
              <w:t>3</w:t>
            </w:r>
            <w:r>
              <w:rPr>
                <w:rFonts w:hint="eastAsia"/>
                <w:color w:val="000000"/>
                <w:szCs w:val="21"/>
              </w:rPr>
              <w:t>。最终</w:t>
            </w:r>
            <w:r>
              <w:rPr>
                <w:rFonts w:hint="eastAsia" w:ascii="宋体" w:hAnsi="宋体" w:cs="宋体"/>
                <w:color w:val="000000"/>
                <w:kern w:val="0"/>
                <w:szCs w:val="21"/>
              </w:rPr>
              <w:t>台面厚度25-30mm。</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②封边：2MM厚PVC同色封边。</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③铰链、滑轨等</w:t>
            </w:r>
            <w:r>
              <w:rPr>
                <w:rFonts w:cs="宋体"/>
                <w:color w:val="000000"/>
                <w:kern w:val="0"/>
                <w:szCs w:val="21"/>
              </w:rPr>
              <w:t>金属配件需符合相应国家标准</w:t>
            </w:r>
            <w:r>
              <w:rPr>
                <w:rFonts w:hint="eastAsia" w:ascii="宋体" w:hAnsi="宋体" w:cs="宋体"/>
                <w:szCs w:val="21"/>
              </w:rPr>
              <w:t>。</w:t>
            </w:r>
          </w:p>
          <w:p>
            <w:pPr>
              <w:widowControl/>
              <w:adjustRightInd w:val="0"/>
              <w:snapToGrid w:val="0"/>
              <w:spacing w:line="360" w:lineRule="auto"/>
              <w:jc w:val="left"/>
              <w:textAlignment w:val="center"/>
              <w:rPr>
                <w:szCs w:val="21"/>
              </w:rPr>
            </w:pPr>
            <w:r>
              <w:rPr>
                <w:rFonts w:hint="eastAsia" w:ascii="宋体" w:hAnsi="宋体"/>
                <w:szCs w:val="21"/>
              </w:rPr>
              <w:t>④</w:t>
            </w:r>
            <w:r>
              <w:rPr>
                <w:rFonts w:hint="eastAsia"/>
                <w:szCs w:val="21"/>
              </w:rPr>
              <w:t>整体浅色系，如奶油色、象牙色、乳白色等。</w:t>
            </w:r>
          </w:p>
          <w:p>
            <w:pPr>
              <w:widowControl/>
              <w:adjustRightInd w:val="0"/>
              <w:snapToGrid w:val="0"/>
              <w:spacing w:line="360" w:lineRule="auto"/>
              <w:jc w:val="left"/>
              <w:textAlignment w:val="center"/>
              <w:rPr>
                <w:rFonts w:ascii="宋体" w:hAnsi="宋体" w:cs="宋体"/>
                <w:szCs w:val="21"/>
              </w:rPr>
            </w:pPr>
            <w:r>
              <w:rPr>
                <w:rFonts w:hint="eastAsia"/>
                <w:szCs w:val="21"/>
              </w:rPr>
              <w:t>⑤</w:t>
            </w:r>
            <w:r>
              <w:rPr>
                <w:rFonts w:cs="宋体"/>
                <w:color w:val="000000"/>
                <w:kern w:val="0"/>
                <w:szCs w:val="21"/>
              </w:rPr>
              <w:t>所用板材的甲醛含量均需</w:t>
            </w:r>
            <w:r>
              <w:rPr>
                <w:rFonts w:hint="eastAsia" w:cs="宋体"/>
                <w:color w:val="000000"/>
                <w:kern w:val="0"/>
                <w:szCs w:val="21"/>
              </w:rPr>
              <w:t>符合</w:t>
            </w:r>
            <w:r>
              <w:rPr>
                <w:rFonts w:cs="宋体"/>
                <w:color w:val="000000"/>
                <w:kern w:val="0"/>
                <w:szCs w:val="21"/>
              </w:rPr>
              <w:t>国家标准。</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讨论椅（413教授办公室）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4张</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60" w:lineRule="auto"/>
              <w:jc w:val="left"/>
              <w:rPr>
                <w:rFonts w:ascii="宋体" w:hAnsi="宋体" w:cs="宋体"/>
                <w:color w:val="000000"/>
                <w:szCs w:val="21"/>
              </w:rPr>
            </w:pPr>
            <w:r>
              <w:rPr>
                <w:rFonts w:hint="eastAsia" w:ascii="宋体" w:hAnsi="宋体" w:cs="宋体"/>
                <w:color w:val="000000"/>
                <w:kern w:val="0"/>
                <w:szCs w:val="21"/>
              </w:rPr>
              <w:t>可堆叠收纳，高质量塑料椅、或</w:t>
            </w:r>
            <w:r>
              <w:rPr>
                <w:rFonts w:hint="eastAsia" w:ascii="宋体" w:hAnsi="宋体" w:cs="宋体"/>
                <w:color w:val="000000"/>
                <w:szCs w:val="21"/>
              </w:rPr>
              <w:t>皮质且有海绵填充均可，整体亮色系。</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小洗手台（413教授办公室东南角）</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1个</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尺寸：570*340*810mm</w:t>
            </w:r>
          </w:p>
          <w:p>
            <w:pPr>
              <w:widowControl/>
              <w:adjustRightInd w:val="0"/>
              <w:snapToGrid w:val="0"/>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①实木结构。</w:t>
            </w:r>
          </w:p>
          <w:p>
            <w:pPr>
              <w:widowControl/>
              <w:adjustRightInd w:val="0"/>
              <w:snapToGrid w:val="0"/>
              <w:spacing w:line="360" w:lineRule="auto"/>
              <w:jc w:val="left"/>
              <w:textAlignment w:val="center"/>
              <w:rPr>
                <w:rFonts w:ascii="宋体" w:hAnsi="宋体" w:cs="宋体"/>
                <w:color w:val="000000"/>
                <w:szCs w:val="21"/>
              </w:rPr>
            </w:pPr>
            <w:r>
              <w:rPr>
                <w:rFonts w:hint="eastAsia" w:ascii="宋体" w:hAnsi="宋体" w:cs="宋体"/>
                <w:color w:val="000000"/>
                <w:kern w:val="0"/>
                <w:szCs w:val="21"/>
              </w:rPr>
              <w:t>②陶瓷水盆。</w:t>
            </w:r>
          </w:p>
        </w:tc>
      </w:tr>
      <w:tr>
        <w:tblPrEx>
          <w:tblLayout w:type="fixed"/>
          <w:tblCellMar>
            <w:top w:w="0" w:type="dxa"/>
            <w:left w:w="0" w:type="dxa"/>
            <w:bottom w:w="0" w:type="dxa"/>
            <w:right w:w="0" w:type="dxa"/>
          </w:tblCellMar>
        </w:tblPrEx>
        <w:trPr>
          <w:gridAfter w:val="1"/>
          <w:wAfter w:w="14089" w:type="dxa"/>
          <w:trHeight w:val="5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冷库</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1套</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①4℃冷库。</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②精度±1℃，</w:t>
            </w:r>
            <w:r>
              <w:rPr>
                <w:rFonts w:hint="eastAsia" w:ascii="宋体" w:hAnsi="宋体"/>
                <w:color w:val="000000"/>
                <w:szCs w:val="21"/>
              </w:rPr>
              <w:t>保证库内常年恒定</w:t>
            </w:r>
            <w:r>
              <w:rPr>
                <w:rFonts w:hint="eastAsia" w:ascii="宋体" w:hAnsi="宋体" w:cs="宋体"/>
                <w:szCs w:val="21"/>
              </w:rPr>
              <w:t>4℃。</w:t>
            </w:r>
          </w:p>
          <w:p>
            <w:pPr>
              <w:widowControl/>
              <w:adjustRightInd w:val="0"/>
              <w:snapToGrid w:val="0"/>
              <w:spacing w:line="360" w:lineRule="auto"/>
              <w:jc w:val="left"/>
              <w:textAlignment w:val="center"/>
              <w:rPr>
                <w:rFonts w:ascii="宋体" w:hAnsi="宋体" w:cs="宋体"/>
                <w:szCs w:val="21"/>
              </w:rPr>
            </w:pPr>
            <w:r>
              <w:rPr>
                <w:rFonts w:hint="eastAsia" w:ascii="宋体" w:hAnsi="宋体" w:cs="宋体"/>
                <w:szCs w:val="21"/>
              </w:rPr>
              <w:t>③制冷主机一备一用。</w:t>
            </w:r>
          </w:p>
          <w:p>
            <w:pPr>
              <w:pStyle w:val="41"/>
              <w:snapToGrid w:val="0"/>
              <w:spacing w:line="360" w:lineRule="auto"/>
              <w:rPr>
                <w:rFonts w:cs="宋体"/>
                <w:sz w:val="21"/>
                <w:szCs w:val="21"/>
              </w:rPr>
            </w:pPr>
            <w:r>
              <w:rPr>
                <w:rFonts w:hint="eastAsia" w:cs="宋体"/>
                <w:sz w:val="21"/>
                <w:szCs w:val="21"/>
              </w:rPr>
              <w:t>④墙顶和</w:t>
            </w:r>
            <w:r>
              <w:rPr>
                <w:rFonts w:hint="eastAsia" w:cs="宋体"/>
                <w:color w:val="auto"/>
                <w:sz w:val="21"/>
                <w:szCs w:val="21"/>
              </w:rPr>
              <w:t>墙体均</w:t>
            </w:r>
            <w:r>
              <w:rPr>
                <w:rFonts w:hint="eastAsia" w:cs="宋体"/>
                <w:sz w:val="21"/>
                <w:szCs w:val="21"/>
              </w:rPr>
              <w:t>采用优质聚氨酯保温板</w:t>
            </w:r>
            <w:r>
              <w:rPr>
                <w:rFonts w:hint="eastAsia" w:cs="宋体"/>
                <w:color w:val="auto"/>
                <w:sz w:val="21"/>
                <w:szCs w:val="21"/>
              </w:rPr>
              <w:t>，厚度范围为10±1cm。</w:t>
            </w:r>
          </w:p>
        </w:tc>
      </w:tr>
      <w:tr>
        <w:tblPrEx>
          <w:tblLayout w:type="fixed"/>
          <w:tblCellMar>
            <w:top w:w="0" w:type="dxa"/>
            <w:left w:w="0" w:type="dxa"/>
            <w:bottom w:w="0" w:type="dxa"/>
            <w:right w:w="0" w:type="dxa"/>
          </w:tblCellMar>
        </w:tblPrEx>
        <w:trPr>
          <w:gridAfter w:val="1"/>
          <w:wAfter w:w="14089" w:type="dxa"/>
          <w:trHeight w:val="28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空调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3台</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szCs w:val="21"/>
              </w:rPr>
            </w:pPr>
            <w:r>
              <w:rPr>
                <w:rFonts w:hint="eastAsia" w:ascii="宋体" w:hAnsi="宋体"/>
                <w:szCs w:val="21"/>
              </w:rPr>
              <w:t>①</w:t>
            </w:r>
            <w:r>
              <w:rPr>
                <w:szCs w:val="21"/>
              </w:rPr>
              <w:t>3P一拖一。</w:t>
            </w:r>
            <w:r>
              <w:rPr>
                <w:rFonts w:hint="eastAsia" w:cs="宋体"/>
                <w:szCs w:val="21"/>
              </w:rPr>
              <w:t>教授办公室一</w:t>
            </w:r>
            <w:r>
              <w:rPr>
                <w:szCs w:val="21"/>
              </w:rPr>
              <w:t>台，学生办公室各一台</w:t>
            </w:r>
            <w:r>
              <w:rPr>
                <w:rFonts w:hint="eastAsia"/>
                <w:szCs w:val="21"/>
              </w:rPr>
              <w:t>，推荐品牌为</w:t>
            </w:r>
            <w:r>
              <w:rPr>
                <w:rFonts w:hint="eastAsia" w:ascii="宋体" w:hAnsi="宋体" w:cs="宋体"/>
                <w:szCs w:val="21"/>
              </w:rPr>
              <w:t>美的、格力、海信或同档次。</w:t>
            </w:r>
          </w:p>
          <w:p>
            <w:pPr>
              <w:pStyle w:val="41"/>
              <w:snapToGrid w:val="0"/>
              <w:spacing w:line="360" w:lineRule="auto"/>
              <w:rPr>
                <w:rFonts w:cs="宋体"/>
                <w:sz w:val="21"/>
                <w:szCs w:val="21"/>
              </w:rPr>
            </w:pPr>
            <w:r>
              <w:rPr>
                <w:rFonts w:hint="eastAsia" w:cs="宋体"/>
                <w:sz w:val="21"/>
                <w:szCs w:val="21"/>
              </w:rPr>
              <w:t>②吸顶式，四面出风。</w:t>
            </w:r>
          </w:p>
        </w:tc>
      </w:tr>
      <w:tr>
        <w:tblPrEx>
          <w:tblLayout w:type="fixed"/>
          <w:tblCellMar>
            <w:top w:w="0" w:type="dxa"/>
            <w:left w:w="0" w:type="dxa"/>
            <w:bottom w:w="0" w:type="dxa"/>
            <w:right w:w="0" w:type="dxa"/>
          </w:tblCellMar>
        </w:tblPrEx>
        <w:trPr>
          <w:gridAfter w:val="1"/>
          <w:wAfter w:w="14089" w:type="dxa"/>
          <w:trHeight w:val="96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空调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cs="宋体"/>
                <w:szCs w:val="21"/>
              </w:rPr>
            </w:pPr>
            <w:r>
              <w:rPr>
                <w:rFonts w:hint="eastAsia" w:cs="宋体"/>
                <w:szCs w:val="21"/>
              </w:rPr>
              <w:t>2台</w:t>
            </w:r>
          </w:p>
        </w:tc>
        <w:tc>
          <w:tcPr>
            <w:tcW w:w="6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cs="宋体"/>
                <w:szCs w:val="21"/>
              </w:rPr>
            </w:pPr>
            <w:r>
              <w:rPr>
                <w:rFonts w:hint="eastAsia" w:ascii="宋体" w:hAnsi="宋体" w:cs="宋体"/>
                <w:szCs w:val="21"/>
              </w:rPr>
              <w:t>①</w:t>
            </w:r>
            <w:r>
              <w:rPr>
                <w:rFonts w:cs="宋体"/>
                <w:szCs w:val="21"/>
              </w:rPr>
              <w:t>5P一拖一。实验室两台</w:t>
            </w:r>
            <w:r>
              <w:rPr>
                <w:rFonts w:hint="eastAsia" w:cs="宋体"/>
                <w:szCs w:val="21"/>
              </w:rPr>
              <w:t>，推荐品牌为美的、格力</w:t>
            </w:r>
            <w:r>
              <w:rPr>
                <w:rFonts w:hint="eastAsia" w:ascii="宋体" w:hAnsi="宋体" w:cs="宋体"/>
                <w:szCs w:val="21"/>
              </w:rPr>
              <w:t>、海信</w:t>
            </w:r>
            <w:r>
              <w:rPr>
                <w:rFonts w:hint="eastAsia" w:cs="宋体"/>
                <w:szCs w:val="21"/>
              </w:rPr>
              <w:t>或同档次。</w:t>
            </w:r>
          </w:p>
          <w:p>
            <w:pPr>
              <w:widowControl/>
              <w:adjustRightInd w:val="0"/>
              <w:snapToGrid w:val="0"/>
              <w:spacing w:line="360" w:lineRule="auto"/>
              <w:jc w:val="left"/>
              <w:textAlignment w:val="center"/>
              <w:rPr>
                <w:rFonts w:cs="宋体"/>
                <w:szCs w:val="21"/>
              </w:rPr>
            </w:pPr>
            <w:r>
              <w:rPr>
                <w:rFonts w:hint="eastAsia" w:cs="宋体"/>
                <w:szCs w:val="21"/>
              </w:rPr>
              <w:t>②吸顶式，四面出风。</w:t>
            </w:r>
          </w:p>
        </w:tc>
      </w:tr>
    </w:tbl>
    <w:p>
      <w:pPr>
        <w:adjustRightInd w:val="0"/>
        <w:snapToGrid w:val="0"/>
        <w:spacing w:line="360" w:lineRule="auto"/>
        <w:jc w:val="left"/>
        <w:rPr>
          <w:rFonts w:ascii="宋体" w:hAnsi="宋体" w:cs="宋体"/>
          <w:b/>
          <w:sz w:val="24"/>
        </w:rPr>
      </w:pPr>
      <w:r>
        <w:rPr>
          <w:rFonts w:hint="eastAsia" w:ascii="宋体" w:hAnsi="宋体" w:cs="宋体"/>
          <w:b/>
          <w:sz w:val="24"/>
        </w:rPr>
        <w:t>（二）工程部分</w:t>
      </w:r>
    </w:p>
    <w:tbl>
      <w:tblPr>
        <w:tblStyle w:val="20"/>
        <w:tblW w:w="9075" w:type="dxa"/>
        <w:tblInd w:w="0" w:type="dxa"/>
        <w:tblLayout w:type="fixed"/>
        <w:tblCellMar>
          <w:top w:w="0" w:type="dxa"/>
          <w:left w:w="0" w:type="dxa"/>
          <w:bottom w:w="0" w:type="dxa"/>
          <w:right w:w="0" w:type="dxa"/>
        </w:tblCellMar>
      </w:tblPr>
      <w:tblGrid>
        <w:gridCol w:w="587"/>
        <w:gridCol w:w="988"/>
        <w:gridCol w:w="850"/>
        <w:gridCol w:w="6650"/>
      </w:tblGrid>
      <w:tr>
        <w:tblPrEx>
          <w:tblLayout w:type="fixed"/>
          <w:tblCellMar>
            <w:top w:w="0" w:type="dxa"/>
            <w:left w:w="0" w:type="dxa"/>
            <w:bottom w:w="0" w:type="dxa"/>
            <w:right w:w="0" w:type="dxa"/>
          </w:tblCellMar>
        </w:tblPrEx>
        <w:trPr>
          <w:trHeight w:val="4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序号</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项目名称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数量</w:t>
            </w:r>
          </w:p>
        </w:tc>
        <w:tc>
          <w:tcPr>
            <w:tcW w:w="6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技术要求</w:t>
            </w:r>
          </w:p>
        </w:tc>
      </w:tr>
      <w:tr>
        <w:tblPrEx>
          <w:tblLayout w:type="fixed"/>
          <w:tblCellMar>
            <w:top w:w="0" w:type="dxa"/>
            <w:left w:w="0" w:type="dxa"/>
            <w:bottom w:w="0" w:type="dxa"/>
            <w:right w:w="0" w:type="dxa"/>
          </w:tblCellMar>
        </w:tblPrEx>
        <w:trPr>
          <w:trHeight w:val="4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1</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拆除原设施</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1项</w:t>
            </w:r>
          </w:p>
        </w:tc>
        <w:tc>
          <w:tcPr>
            <w:tcW w:w="6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both"/>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拆除办公室和实验室内原有设施,包括旧实验台、吊顶、隔断等。</w:t>
            </w:r>
          </w:p>
        </w:tc>
      </w:tr>
      <w:tr>
        <w:tblPrEx>
          <w:tblLayout w:type="fixed"/>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highlight w:val="none"/>
              </w:rPr>
            </w:pPr>
            <w:r>
              <w:rPr>
                <w:rFonts w:hint="eastAsia" w:ascii="宋体" w:hAnsi="宋体" w:cs="宋体"/>
                <w:color w:val="000000"/>
                <w:szCs w:val="21"/>
                <w:highlight w:val="none"/>
              </w:rPr>
              <w:t>2</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地面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137㎡</w:t>
            </w:r>
          </w:p>
        </w:tc>
        <w:tc>
          <w:tcPr>
            <w:tcW w:w="6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①地面拉毛</w:t>
            </w:r>
          </w:p>
          <w:p>
            <w:pPr>
              <w:widowControl/>
              <w:adjustRightInd w:val="0"/>
              <w:snapToGrid w:val="0"/>
              <w:spacing w:line="360" w:lineRule="auto"/>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②地面自流平</w:t>
            </w:r>
          </w:p>
          <w:p>
            <w:pPr>
              <w:widowControl/>
              <w:adjustRightInd w:val="0"/>
              <w:snapToGrid w:val="0"/>
              <w:spacing w:line="360" w:lineRule="auto"/>
              <w:jc w:val="left"/>
              <w:textAlignment w:val="center"/>
              <w:rPr>
                <w:rFonts w:ascii="宋体" w:hAnsi="宋体" w:cs="宋体"/>
                <w:color w:val="000000"/>
                <w:szCs w:val="21"/>
                <w:highlight w:val="none"/>
              </w:rPr>
            </w:pPr>
            <w:r>
              <w:rPr>
                <w:rFonts w:hint="eastAsia" w:ascii="宋体" w:hAnsi="宋体" w:cs="宋体"/>
                <w:color w:val="000000"/>
                <w:szCs w:val="21"/>
                <w:highlight w:val="none"/>
              </w:rPr>
              <w:t>③2mm厚PVC地胶，推荐品牌为华泰、浩华、</w:t>
            </w:r>
            <w:r>
              <w:rPr>
                <w:rFonts w:ascii="Helvetica Neue" w:hAnsi="Helvetica Neue" w:cs="Helvetica Neue"/>
                <w:color w:val="000000"/>
                <w:kern w:val="0"/>
                <w:szCs w:val="21"/>
                <w:highlight w:val="none"/>
              </w:rPr>
              <w:t>豪墨克</w:t>
            </w:r>
            <w:r>
              <w:rPr>
                <w:rFonts w:hint="eastAsia" w:ascii="Helvetica Neue" w:hAnsi="Helvetica Neue" w:cs="Helvetica Neue"/>
                <w:color w:val="000000"/>
                <w:kern w:val="0"/>
                <w:szCs w:val="21"/>
                <w:highlight w:val="none"/>
              </w:rPr>
              <w:t>、阿姆斯壮</w:t>
            </w:r>
            <w:r>
              <w:rPr>
                <w:rFonts w:hint="eastAsia" w:ascii="宋体" w:hAnsi="宋体" w:cs="宋体"/>
                <w:color w:val="000000"/>
                <w:szCs w:val="21"/>
                <w:highlight w:val="none"/>
              </w:rPr>
              <w:t>或同档次。地胶颜色为浅色系。</w:t>
            </w:r>
          </w:p>
        </w:tc>
      </w:tr>
      <w:tr>
        <w:tblPrEx>
          <w:tblLayout w:type="fixed"/>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3</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吊顶</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137㎡</w:t>
            </w:r>
          </w:p>
        </w:tc>
        <w:tc>
          <w:tcPr>
            <w:tcW w:w="6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①1mm厚600*600轻钢龙骨铝扣板</w:t>
            </w:r>
          </w:p>
          <w:p>
            <w:pPr>
              <w:widowControl/>
              <w:adjustRightInd w:val="0"/>
              <w:snapToGrid w:val="0"/>
              <w:spacing w:line="360" w:lineRule="auto"/>
              <w:jc w:val="left"/>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②</w:t>
            </w:r>
            <w:r>
              <w:rPr>
                <w:rFonts w:hint="eastAsia" w:ascii="宋体" w:hAnsi="宋体"/>
                <w:color w:val="000000"/>
                <w:szCs w:val="21"/>
                <w:highlight w:val="none"/>
              </w:rPr>
              <w:t>600*600LED平板灯，共需至少24盏，推荐品牌为雷士、欧普、久禾或同档次。</w:t>
            </w:r>
          </w:p>
          <w:p>
            <w:pPr>
              <w:widowControl/>
              <w:adjustRightInd w:val="0"/>
              <w:snapToGrid w:val="0"/>
              <w:spacing w:line="360" w:lineRule="auto"/>
              <w:jc w:val="left"/>
              <w:textAlignment w:val="center"/>
              <w:rPr>
                <w:szCs w:val="21"/>
                <w:highlight w:val="none"/>
              </w:rPr>
            </w:pPr>
            <w:r>
              <w:rPr>
                <w:rFonts w:hint="eastAsia" w:ascii="宋体" w:hAnsi="宋体" w:cs="宋体"/>
                <w:color w:val="000000"/>
                <w:kern w:val="0"/>
                <w:szCs w:val="21"/>
                <w:highlight w:val="none"/>
              </w:rPr>
              <w:t>③含龙骨、吊杆、配件。</w:t>
            </w:r>
          </w:p>
        </w:tc>
      </w:tr>
      <w:tr>
        <w:tblPrEx>
          <w:tblLayout w:type="fixed"/>
          <w:tblCellMar>
            <w:top w:w="0" w:type="dxa"/>
            <w:left w:w="0" w:type="dxa"/>
            <w:bottom w:w="0" w:type="dxa"/>
            <w:right w:w="0" w:type="dxa"/>
          </w:tblCellMar>
        </w:tblPrEx>
        <w:trPr>
          <w:trHeight w:val="54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4</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墙面翻新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1项</w:t>
            </w:r>
          </w:p>
        </w:tc>
        <w:tc>
          <w:tcPr>
            <w:tcW w:w="6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①墙面基层打磨。</w:t>
            </w:r>
          </w:p>
          <w:p>
            <w:pPr>
              <w:widowControl/>
              <w:adjustRightInd w:val="0"/>
              <w:snapToGrid w:val="0"/>
              <w:spacing w:line="360" w:lineRule="auto"/>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②批刮腻子。</w:t>
            </w:r>
          </w:p>
          <w:p>
            <w:pPr>
              <w:widowControl/>
              <w:adjustRightInd w:val="0"/>
              <w:snapToGrid w:val="0"/>
              <w:spacing w:line="360" w:lineRule="auto"/>
              <w:jc w:val="left"/>
              <w:textAlignment w:val="center"/>
              <w:rPr>
                <w:rFonts w:ascii="宋体" w:hAnsi="宋体" w:cs="宋体"/>
                <w:color w:val="000000"/>
                <w:szCs w:val="21"/>
                <w:highlight w:val="none"/>
              </w:rPr>
            </w:pPr>
            <w:r>
              <w:rPr>
                <w:rFonts w:hint="eastAsia" w:ascii="宋体" w:hAnsi="宋体" w:cs="宋体"/>
                <w:szCs w:val="21"/>
                <w:highlight w:val="none"/>
              </w:rPr>
              <w:t>③</w:t>
            </w:r>
            <w:r>
              <w:rPr>
                <w:rFonts w:hint="eastAsia" w:cs="宋体"/>
                <w:szCs w:val="21"/>
                <w:highlight w:val="none"/>
              </w:rPr>
              <w:t>刷涂白色乳胶漆，推荐品牌为立邦、多乐士、三棵树或同档次。</w:t>
            </w:r>
          </w:p>
        </w:tc>
      </w:tr>
      <w:tr>
        <w:tblPrEx>
          <w:tblLayout w:type="fixed"/>
          <w:tblCellMar>
            <w:top w:w="0" w:type="dxa"/>
            <w:left w:w="0" w:type="dxa"/>
            <w:bottom w:w="0" w:type="dxa"/>
            <w:right w:w="0" w:type="dxa"/>
          </w:tblCellMar>
        </w:tblPrEx>
        <w:trPr>
          <w:trHeight w:val="42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空调移机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1组</w:t>
            </w:r>
          </w:p>
        </w:tc>
        <w:tc>
          <w:tcPr>
            <w:tcW w:w="6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szCs w:val="21"/>
                <w:highlight w:val="none"/>
              </w:rPr>
            </w:pPr>
            <w:r>
              <w:rPr>
                <w:rFonts w:hint="eastAsia" w:ascii="宋体" w:hAnsi="宋体" w:cs="宋体"/>
                <w:color w:val="000000"/>
                <w:kern w:val="0"/>
                <w:szCs w:val="21"/>
                <w:highlight w:val="none"/>
              </w:rPr>
              <w:t>现有立式柜机移至指定位置。</w:t>
            </w:r>
          </w:p>
        </w:tc>
      </w:tr>
      <w:tr>
        <w:tblPrEx>
          <w:tblLayout w:type="fixed"/>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6</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通风系统改造</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1项</w:t>
            </w:r>
          </w:p>
        </w:tc>
        <w:tc>
          <w:tcPr>
            <w:tcW w:w="6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szCs w:val="21"/>
                <w:highlight w:val="none"/>
              </w:rPr>
            </w:pPr>
            <w:r>
              <w:rPr>
                <w:rFonts w:hint="eastAsia" w:ascii="宋体" w:hAnsi="宋体" w:cs="宋体"/>
                <w:color w:val="000000"/>
                <w:kern w:val="0"/>
                <w:szCs w:val="21"/>
                <w:highlight w:val="none"/>
              </w:rPr>
              <w:t>现有通风口管道更换。</w:t>
            </w:r>
          </w:p>
          <w:p>
            <w:pPr>
              <w:widowControl/>
              <w:adjustRightInd w:val="0"/>
              <w:snapToGrid w:val="0"/>
              <w:spacing w:line="360" w:lineRule="auto"/>
              <w:jc w:val="left"/>
              <w:textAlignment w:val="center"/>
              <w:rPr>
                <w:rFonts w:ascii="宋体" w:hAnsi="宋体" w:cs="宋体"/>
                <w:szCs w:val="21"/>
                <w:highlight w:val="none"/>
              </w:rPr>
            </w:pPr>
            <w:r>
              <w:rPr>
                <w:rFonts w:hint="eastAsia" w:ascii="宋体" w:hAnsi="宋体" w:cs="宋体"/>
                <w:szCs w:val="21"/>
                <w:highlight w:val="none"/>
              </w:rPr>
              <w:t>①PP板焊接管道</w:t>
            </w:r>
          </w:p>
          <w:p>
            <w:pPr>
              <w:pStyle w:val="41"/>
              <w:snapToGrid w:val="0"/>
              <w:spacing w:line="360" w:lineRule="auto"/>
              <w:rPr>
                <w:rFonts w:cs="宋体"/>
                <w:sz w:val="21"/>
                <w:szCs w:val="21"/>
                <w:highlight w:val="none"/>
              </w:rPr>
            </w:pPr>
            <w:r>
              <w:rPr>
                <w:rFonts w:hint="eastAsia" w:cs="宋体"/>
                <w:sz w:val="21"/>
                <w:szCs w:val="21"/>
                <w:highlight w:val="none"/>
              </w:rPr>
              <w:t>②铝合金排风口</w:t>
            </w:r>
          </w:p>
        </w:tc>
      </w:tr>
      <w:tr>
        <w:tblPrEx>
          <w:tblLayout w:type="fixed"/>
          <w:tblCellMar>
            <w:top w:w="0" w:type="dxa"/>
            <w:left w:w="0" w:type="dxa"/>
            <w:bottom w:w="0" w:type="dxa"/>
            <w:right w:w="0" w:type="dxa"/>
          </w:tblCellMar>
        </w:tblPrEx>
        <w:trPr>
          <w:trHeight w:val="108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7</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封门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2樘</w:t>
            </w:r>
          </w:p>
        </w:tc>
        <w:tc>
          <w:tcPr>
            <w:tcW w:w="6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s="宋体"/>
                <w:szCs w:val="21"/>
                <w:highlight w:val="none"/>
              </w:rPr>
            </w:pPr>
            <w:r>
              <w:rPr>
                <w:rFonts w:hint="eastAsia" w:ascii="宋体" w:hAnsi="宋体" w:cs="宋体"/>
                <w:szCs w:val="21"/>
                <w:highlight w:val="none"/>
              </w:rPr>
              <w:t>①砖砌隔墙。</w:t>
            </w:r>
          </w:p>
          <w:p>
            <w:pPr>
              <w:pStyle w:val="41"/>
              <w:snapToGrid w:val="0"/>
              <w:spacing w:line="360" w:lineRule="auto"/>
              <w:rPr>
                <w:rFonts w:cs="宋体"/>
                <w:sz w:val="21"/>
                <w:szCs w:val="21"/>
                <w:highlight w:val="none"/>
              </w:rPr>
            </w:pPr>
            <w:r>
              <w:rPr>
                <w:rFonts w:hint="eastAsia" w:cs="宋体"/>
                <w:sz w:val="21"/>
                <w:szCs w:val="21"/>
                <w:highlight w:val="none"/>
              </w:rPr>
              <w:t>②批刮腻子。</w:t>
            </w:r>
          </w:p>
          <w:p>
            <w:pPr>
              <w:pStyle w:val="41"/>
              <w:snapToGrid w:val="0"/>
              <w:spacing w:line="360" w:lineRule="auto"/>
              <w:rPr>
                <w:rFonts w:cs="宋体"/>
                <w:sz w:val="21"/>
                <w:szCs w:val="21"/>
                <w:highlight w:val="none"/>
              </w:rPr>
            </w:pPr>
            <w:r>
              <w:rPr>
                <w:rFonts w:hint="eastAsia" w:cs="宋体"/>
                <w:sz w:val="21"/>
                <w:szCs w:val="21"/>
                <w:highlight w:val="none"/>
              </w:rPr>
              <w:t>③刷涂白色乳胶漆，推荐品牌为立邦、多乐士、三棵树或同档次。</w:t>
            </w:r>
          </w:p>
        </w:tc>
      </w:tr>
      <w:tr>
        <w:tblPrEx>
          <w:tblLayout w:type="fixed"/>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8</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隔断</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46</w:t>
            </w:r>
            <w:r>
              <w:rPr>
                <w:rFonts w:hint="eastAsia" w:ascii="宋体" w:hAnsi="宋体"/>
                <w:color w:val="000000"/>
                <w:szCs w:val="21"/>
                <w:highlight w:val="none"/>
              </w:rPr>
              <w:t>㎡</w:t>
            </w:r>
          </w:p>
        </w:tc>
        <w:tc>
          <w:tcPr>
            <w:tcW w:w="6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color w:val="000000"/>
                <w:szCs w:val="21"/>
                <w:highlight w:val="none"/>
              </w:rPr>
            </w:pPr>
            <w:r>
              <w:rPr>
                <w:rFonts w:hint="eastAsia" w:ascii="宋体" w:hAnsi="宋体"/>
                <w:color w:val="000000"/>
                <w:szCs w:val="21"/>
                <w:highlight w:val="none"/>
              </w:rPr>
              <w:t>①墙体高度约为2.5m，下部为不透光隔墙（</w:t>
            </w:r>
            <w:r>
              <w:rPr>
                <w:rFonts w:hint="eastAsia" w:ascii="宋体" w:hAnsi="宋体"/>
                <w:szCs w:val="21"/>
                <w:highlight w:val="none"/>
              </w:rPr>
              <w:t>800mm高</w:t>
            </w:r>
            <w:r>
              <w:rPr>
                <w:rFonts w:hint="eastAsia" w:ascii="宋体" w:hAnsi="宋体"/>
                <w:color w:val="000000"/>
                <w:szCs w:val="21"/>
                <w:highlight w:val="none"/>
              </w:rPr>
              <w:t>），上部为双层钢化玻璃隔断，内嵌铝合金百叶。包括3樘900mm宽钢化玻璃移门。</w:t>
            </w:r>
          </w:p>
          <w:p>
            <w:pPr>
              <w:pStyle w:val="41"/>
              <w:snapToGrid w:val="0"/>
              <w:spacing w:line="360" w:lineRule="auto"/>
              <w:rPr>
                <w:sz w:val="21"/>
                <w:szCs w:val="21"/>
                <w:highlight w:val="none"/>
              </w:rPr>
            </w:pPr>
            <w:r>
              <w:rPr>
                <w:rFonts w:hint="eastAsia"/>
                <w:sz w:val="21"/>
                <w:szCs w:val="21"/>
                <w:highlight w:val="none"/>
              </w:rPr>
              <w:t>②教授办公室和外间学生办公室之间隔断面积约12㎡，移门带锁，下部不透光隔墙高约1.2m，上部钢化玻璃配浅色百叶窗。</w:t>
            </w:r>
          </w:p>
          <w:p>
            <w:pPr>
              <w:pStyle w:val="41"/>
              <w:snapToGrid w:val="0"/>
              <w:spacing w:line="360" w:lineRule="auto"/>
              <w:rPr>
                <w:sz w:val="21"/>
                <w:szCs w:val="21"/>
                <w:highlight w:val="none"/>
              </w:rPr>
            </w:pPr>
            <w:r>
              <w:rPr>
                <w:rFonts w:hint="eastAsia"/>
                <w:sz w:val="21"/>
                <w:szCs w:val="21"/>
                <w:highlight w:val="none"/>
              </w:rPr>
              <w:t>③实验室内隔断总面积约34㎡，两个移门不带锁，下部不透光隔墙高约0.8m，中部约0.8m高钢化毛玻璃，上部为完全透光钢化玻璃。</w:t>
            </w:r>
          </w:p>
        </w:tc>
      </w:tr>
      <w:tr>
        <w:tblPrEx>
          <w:tblLayout w:type="fixed"/>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9</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窗帘</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17</w:t>
            </w:r>
            <w:r>
              <w:rPr>
                <w:rFonts w:hint="eastAsia" w:ascii="宋体" w:hAnsi="宋体"/>
                <w:color w:val="000000"/>
                <w:szCs w:val="21"/>
                <w:highlight w:val="none"/>
              </w:rPr>
              <w:t>㎡</w:t>
            </w:r>
          </w:p>
        </w:tc>
        <w:tc>
          <w:tcPr>
            <w:tcW w:w="6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hint="eastAsia" w:ascii="宋体" w:hAnsi="宋体"/>
                <w:color w:val="000000"/>
                <w:szCs w:val="21"/>
                <w:highlight w:val="none"/>
              </w:rPr>
            </w:pPr>
            <w:r>
              <w:rPr>
                <w:rFonts w:hint="eastAsia" w:ascii="宋体" w:hAnsi="宋体"/>
                <w:color w:val="000000"/>
                <w:szCs w:val="21"/>
                <w:highlight w:val="none"/>
              </w:rPr>
              <w:t>窗户清洁，安装纱窗，旧窗帘更换为全新白色百叶窗。</w:t>
            </w:r>
          </w:p>
        </w:tc>
      </w:tr>
      <w:tr>
        <w:tblPrEx>
          <w:tblLayout w:type="fixed"/>
          <w:tblCellMar>
            <w:top w:w="0" w:type="dxa"/>
            <w:left w:w="0" w:type="dxa"/>
            <w:bottom w:w="0" w:type="dxa"/>
            <w:right w:w="0" w:type="dxa"/>
          </w:tblCellMar>
        </w:tblPrEx>
        <w:trPr>
          <w:trHeight w:val="285"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10</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水电</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color w:val="000000"/>
                <w:szCs w:val="21"/>
                <w:highlight w:val="none"/>
              </w:rPr>
            </w:pPr>
            <w:r>
              <w:rPr>
                <w:rFonts w:hint="eastAsia" w:ascii="宋体" w:hAnsi="宋体"/>
                <w:color w:val="000000"/>
                <w:szCs w:val="21"/>
                <w:highlight w:val="none"/>
              </w:rPr>
              <w:t>1项</w:t>
            </w:r>
          </w:p>
        </w:tc>
        <w:tc>
          <w:tcPr>
            <w:tcW w:w="6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60" w:lineRule="auto"/>
              <w:jc w:val="left"/>
              <w:textAlignment w:val="center"/>
              <w:rPr>
                <w:rFonts w:ascii="宋体" w:hAnsi="宋体"/>
                <w:szCs w:val="21"/>
                <w:highlight w:val="none"/>
              </w:rPr>
            </w:pPr>
            <w:r>
              <w:rPr>
                <w:rFonts w:hint="eastAsia" w:ascii="宋体" w:hAnsi="宋体"/>
                <w:szCs w:val="21"/>
                <w:highlight w:val="none"/>
              </w:rPr>
              <w:t>①给排水改造：上水管道，</w:t>
            </w:r>
            <w:r>
              <w:rPr>
                <w:rFonts w:hint="eastAsia"/>
                <w:color w:val="000000"/>
                <w:szCs w:val="21"/>
                <w:highlight w:val="none"/>
              </w:rPr>
              <w:t>PPR</w:t>
            </w:r>
            <w:r>
              <w:rPr>
                <w:rFonts w:hint="eastAsia" w:ascii="宋体" w:hAnsi="宋体"/>
                <w:color w:val="000000"/>
                <w:szCs w:val="21"/>
                <w:highlight w:val="none"/>
              </w:rPr>
              <w:t>主管</w:t>
            </w:r>
            <w:r>
              <w:rPr>
                <w:rFonts w:hint="eastAsia"/>
                <w:color w:val="000000"/>
                <w:szCs w:val="21"/>
                <w:highlight w:val="none"/>
              </w:rPr>
              <w:t>φ25</w:t>
            </w:r>
            <w:r>
              <w:rPr>
                <w:rFonts w:hint="eastAsia" w:ascii="宋体" w:hAnsi="宋体"/>
                <w:color w:val="000000"/>
                <w:szCs w:val="21"/>
                <w:highlight w:val="none"/>
              </w:rPr>
              <w:t>，品牌为中财、伟星、联塑或同档次；下水管道，</w:t>
            </w:r>
            <w:r>
              <w:rPr>
                <w:rFonts w:hint="eastAsia"/>
                <w:color w:val="000000"/>
                <w:szCs w:val="21"/>
                <w:highlight w:val="none"/>
              </w:rPr>
              <w:t>PVC</w:t>
            </w:r>
            <w:r>
              <w:rPr>
                <w:rFonts w:hint="eastAsia" w:ascii="宋体" w:hAnsi="宋体"/>
                <w:color w:val="000000"/>
                <w:szCs w:val="21"/>
                <w:highlight w:val="none"/>
              </w:rPr>
              <w:t>主管</w:t>
            </w:r>
            <w:r>
              <w:rPr>
                <w:rFonts w:hint="eastAsia"/>
                <w:color w:val="000000"/>
                <w:szCs w:val="21"/>
                <w:highlight w:val="none"/>
              </w:rPr>
              <w:t>φ50</w:t>
            </w:r>
            <w:r>
              <w:rPr>
                <w:rFonts w:hint="eastAsia" w:ascii="宋体" w:hAnsi="宋体"/>
                <w:color w:val="000000"/>
                <w:szCs w:val="21"/>
                <w:highlight w:val="none"/>
              </w:rPr>
              <w:t>，品牌为中财、伟星、联塑或同档次。</w:t>
            </w:r>
          </w:p>
          <w:p>
            <w:pPr>
              <w:widowControl/>
              <w:adjustRightInd w:val="0"/>
              <w:snapToGrid w:val="0"/>
              <w:spacing w:line="360" w:lineRule="auto"/>
              <w:jc w:val="left"/>
              <w:textAlignment w:val="center"/>
              <w:rPr>
                <w:rFonts w:ascii="宋体" w:hAnsi="宋体"/>
                <w:szCs w:val="21"/>
                <w:highlight w:val="none"/>
              </w:rPr>
            </w:pPr>
            <w:r>
              <w:rPr>
                <w:rFonts w:hint="eastAsia" w:ascii="宋体" w:hAnsi="宋体"/>
                <w:szCs w:val="21"/>
                <w:highlight w:val="none"/>
              </w:rPr>
              <w:t>②</w:t>
            </w:r>
            <w:r>
              <w:rPr>
                <w:rFonts w:hint="eastAsia"/>
                <w:szCs w:val="21"/>
                <w:highlight w:val="none"/>
              </w:rPr>
              <w:t>强弱电：七台办公桌每台配两组插座和一组网口，并配置电源线和网线，插座推荐品牌为公牛、正泰、欧普或同档次；电线推荐品牌为起帆、远东、正泰或同档次。空调等设备根据设备功率自行配置相应电源线并符合相关国家标准（或规范）以保证用电安全。</w:t>
            </w:r>
          </w:p>
        </w:tc>
      </w:tr>
    </w:tbl>
    <w:p>
      <w:pPr>
        <w:widowControl/>
        <w:adjustRightInd w:val="0"/>
        <w:snapToGrid w:val="0"/>
        <w:spacing w:line="360" w:lineRule="auto"/>
        <w:ind w:firstLine="480" w:firstLineChars="200"/>
        <w:jc w:val="left"/>
        <w:rPr>
          <w:rFonts w:ascii="宋体" w:hAnsi="宋体" w:cs="宋体"/>
          <w:bCs/>
          <w:sz w:val="24"/>
        </w:rPr>
      </w:pPr>
      <w:r>
        <w:rPr>
          <w:rFonts w:hint="eastAsia" w:ascii="宋体" w:hAnsi="宋体" w:cs="宋体"/>
          <w:bCs/>
          <w:sz w:val="24"/>
        </w:rPr>
        <w:t>注:装修材料必须满足相关节能、环保要求。供应商可选用采购人推荐品牌，也可选用不低于采购人推荐品牌档次的品牌。经三分之二磋商小组成员认定，供应商所投品牌档次低于采购人推荐品牌档次的，将作无效响应文件处理。</w:t>
      </w:r>
    </w:p>
    <w:p>
      <w:pPr>
        <w:widowControl/>
        <w:adjustRightInd w:val="0"/>
        <w:snapToGrid w:val="0"/>
        <w:spacing w:line="360" w:lineRule="auto"/>
        <w:ind w:firstLine="470" w:firstLineChars="196"/>
        <w:jc w:val="left"/>
        <w:rPr>
          <w:rFonts w:ascii="宋体" w:hAnsi="宋体" w:cs="宋体"/>
          <w:bCs/>
          <w:sz w:val="24"/>
          <w:highlight w:val="none"/>
        </w:rPr>
      </w:pPr>
      <w:r>
        <w:rPr>
          <w:rFonts w:ascii="宋体" w:hAnsi="宋体" w:cs="宋体"/>
          <w:sz w:val="24"/>
          <w:highlight w:val="none"/>
        </w:rPr>
        <w:t>★</w:t>
      </w:r>
      <w:r>
        <w:rPr>
          <w:rFonts w:hint="eastAsia" w:ascii="宋体" w:hAnsi="宋体" w:cs="宋体"/>
          <w:b/>
          <w:sz w:val="24"/>
          <w:highlight w:val="none"/>
        </w:rPr>
        <w:t>三、其它要求</w:t>
      </w:r>
    </w:p>
    <w:p>
      <w:pPr>
        <w:widowControl/>
        <w:adjustRightInd w:val="0"/>
        <w:snapToGrid w:val="0"/>
        <w:spacing w:line="360" w:lineRule="auto"/>
        <w:ind w:firstLine="470" w:firstLineChars="196"/>
        <w:jc w:val="left"/>
        <w:rPr>
          <w:rFonts w:hint="eastAsia" w:ascii="宋体" w:hAnsi="宋体" w:eastAsia="宋体" w:cs="宋体"/>
          <w:bCs/>
          <w:sz w:val="24"/>
          <w:highlight w:val="none"/>
          <w:lang w:eastAsia="zh-CN"/>
        </w:rPr>
      </w:pPr>
      <w:r>
        <w:rPr>
          <w:rFonts w:hint="eastAsia" w:ascii="宋体" w:hAnsi="宋体" w:cs="宋体"/>
          <w:bCs/>
          <w:sz w:val="24"/>
          <w:highlight w:val="none"/>
        </w:rPr>
        <w:t>1、</w:t>
      </w:r>
      <w:r>
        <w:rPr>
          <w:rFonts w:hint="eastAsia" w:ascii="宋体" w:hAnsi="宋体" w:cs="宋体"/>
          <w:bCs/>
          <w:sz w:val="24"/>
          <w:highlight w:val="none"/>
          <w:lang w:eastAsia="zh-CN"/>
        </w:rPr>
        <w:t>成交供应商须提供项目深化设计方案并经采购人确认后方可实施。</w:t>
      </w:r>
    </w:p>
    <w:p>
      <w:pPr>
        <w:widowControl/>
        <w:adjustRightInd w:val="0"/>
        <w:snapToGrid w:val="0"/>
        <w:spacing w:line="360" w:lineRule="auto"/>
        <w:ind w:firstLine="470" w:firstLineChars="196"/>
        <w:jc w:val="left"/>
        <w:rPr>
          <w:rFonts w:hAnsi="宋体" w:cs="宋体"/>
          <w:sz w:val="28"/>
          <w:szCs w:val="28"/>
          <w:highlight w:val="none"/>
        </w:rPr>
      </w:pPr>
      <w:r>
        <w:rPr>
          <w:rFonts w:hint="eastAsia" w:hAnsi="宋体" w:cs="宋体"/>
          <w:bCs/>
          <w:sz w:val="24"/>
          <w:highlight w:val="none"/>
        </w:rPr>
        <w:t>2、</w:t>
      </w:r>
      <w:r>
        <w:rPr>
          <w:rFonts w:hint="eastAsia" w:ascii="宋体" w:hAnsi="宋体" w:cs="宋体"/>
          <w:bCs/>
          <w:sz w:val="24"/>
          <w:highlight w:val="none"/>
        </w:rPr>
        <w:t>材料检测要求：项目实施过程中，采购人有权对供应商提供的设备和材料委托第三方按国家标准或相关要求进行检测。如检测合格，相关检测费用由采购人承担；如检测不合格，相关检测费用由成交人承担，并且，成交人须立即返工处理并按照合同相关条款承担违约责任。</w:t>
      </w:r>
    </w:p>
    <w:p>
      <w:pPr>
        <w:pStyle w:val="10"/>
        <w:adjustRightInd w:val="0"/>
        <w:snapToGrid w:val="0"/>
        <w:spacing w:line="360" w:lineRule="auto"/>
        <w:ind w:firstLine="480" w:firstLineChars="200"/>
        <w:rPr>
          <w:rFonts w:hAnsi="宋体" w:cs="宋体"/>
          <w:bCs/>
          <w:sz w:val="24"/>
          <w:szCs w:val="24"/>
          <w:highlight w:val="none"/>
        </w:rPr>
      </w:pPr>
      <w:r>
        <w:rPr>
          <w:rFonts w:hint="eastAsia" w:hAnsi="宋体" w:cs="宋体"/>
          <w:bCs/>
          <w:sz w:val="24"/>
          <w:szCs w:val="24"/>
          <w:highlight w:val="none"/>
        </w:rPr>
        <w:t>3、</w:t>
      </w:r>
      <w:r>
        <w:rPr>
          <w:rFonts w:hint="eastAsia" w:hAnsi="宋体" w:cs="宋体"/>
          <w:bCs/>
          <w:sz w:val="24"/>
          <w:highlight w:val="none"/>
        </w:rPr>
        <w:t>工期要求：自合同签订生效后40日历天内完成。</w:t>
      </w:r>
    </w:p>
    <w:p>
      <w:pPr>
        <w:pStyle w:val="10"/>
        <w:adjustRightInd w:val="0"/>
        <w:snapToGrid w:val="0"/>
        <w:spacing w:line="360" w:lineRule="auto"/>
        <w:ind w:firstLine="480" w:firstLineChars="200"/>
        <w:rPr>
          <w:rFonts w:hAnsi="宋体" w:cs="宋体"/>
          <w:bCs/>
          <w:sz w:val="24"/>
          <w:szCs w:val="24"/>
        </w:rPr>
      </w:pPr>
      <w:r>
        <w:rPr>
          <w:rFonts w:hint="eastAsia" w:hAnsi="宋体" w:cs="宋体"/>
          <w:bCs/>
          <w:sz w:val="24"/>
          <w:szCs w:val="24"/>
        </w:rPr>
        <w:t>4、</w:t>
      </w:r>
      <w:r>
        <w:rPr>
          <w:rFonts w:hint="eastAsia" w:hAnsi="宋体" w:cs="宋体"/>
          <w:bCs/>
          <w:sz w:val="24"/>
          <w:highlight w:val="none"/>
        </w:rPr>
        <w:t>质量要求：</w:t>
      </w:r>
      <w:r>
        <w:rPr>
          <w:rFonts w:hint="eastAsia" w:hAnsi="宋体" w:cs="宋体"/>
          <w:bCs/>
          <w:sz w:val="24"/>
          <w:szCs w:val="24"/>
          <w:highlight w:val="none"/>
        </w:rPr>
        <w:t>符合采购文件要求且达到国家相关质量验收规范合格标准。</w:t>
      </w:r>
    </w:p>
    <w:p>
      <w:pPr>
        <w:adjustRightInd w:val="0"/>
        <w:snapToGrid w:val="0"/>
        <w:spacing w:line="360" w:lineRule="auto"/>
        <w:ind w:firstLine="480" w:firstLineChars="200"/>
        <w:rPr>
          <w:rFonts w:hint="eastAsia"/>
          <w:sz w:val="24"/>
          <w:lang w:val="zh-CN"/>
        </w:rPr>
      </w:pPr>
      <w:r>
        <w:rPr>
          <w:rFonts w:hint="eastAsia" w:hAnsi="宋体" w:cs="宋体"/>
          <w:bCs/>
          <w:sz w:val="24"/>
        </w:rPr>
        <w:t>5、</w:t>
      </w:r>
      <w:r>
        <w:rPr>
          <w:rFonts w:hAnsi="宋体" w:cs="宋体"/>
          <w:bCs/>
          <w:sz w:val="24"/>
          <w:szCs w:val="24"/>
        </w:rPr>
        <w:t>付款方式</w:t>
      </w:r>
      <w:r>
        <w:rPr>
          <w:rFonts w:hint="eastAsia" w:hAnsi="宋体" w:cs="宋体"/>
          <w:bCs/>
          <w:sz w:val="24"/>
          <w:szCs w:val="24"/>
        </w:rPr>
        <w:t>：项目完工并经采购人验收合格后，采购人凭供应商出具的正式发票一次性支付。</w:t>
      </w:r>
    </w:p>
    <w:p>
      <w:pPr>
        <w:adjustRightInd w:val="0"/>
        <w:snapToGrid w:val="0"/>
        <w:spacing w:line="360" w:lineRule="auto"/>
        <w:ind w:firstLine="480" w:firstLineChars="200"/>
        <w:rPr>
          <w:rFonts w:hint="eastAsia"/>
          <w:sz w:val="24"/>
          <w:lang w:val="zh-CN"/>
        </w:rPr>
      </w:pPr>
      <w:r>
        <w:rPr>
          <w:rFonts w:hint="eastAsia" w:hAnsi="宋体" w:cs="宋体"/>
          <w:bCs/>
          <w:sz w:val="24"/>
          <w:lang w:val="en-US" w:eastAsia="zh-CN"/>
        </w:rPr>
        <w:t>6</w:t>
      </w:r>
      <w:r>
        <w:rPr>
          <w:rFonts w:hint="eastAsia" w:hAnsi="宋体" w:cs="宋体"/>
          <w:bCs/>
          <w:sz w:val="24"/>
        </w:rPr>
        <w:t>、免费质保期限：本项目整体免费质保2年，免费质保期内成交人负责对其提供的货物、服务实行免费维修。</w:t>
      </w:r>
      <w:r>
        <w:rPr>
          <w:rFonts w:hint="eastAsia"/>
          <w:sz w:val="24"/>
          <w:lang w:val="zh-CN"/>
        </w:rPr>
        <w:t>成交人提供的货物等出现故障时，维修人员应在接到通知后48小时内到达现场维修。</w:t>
      </w:r>
    </w:p>
    <w:p>
      <w:pPr>
        <w:adjustRightInd w:val="0"/>
        <w:snapToGrid w:val="0"/>
        <w:spacing w:line="360" w:lineRule="auto"/>
        <w:ind w:firstLine="480" w:firstLineChars="200"/>
        <w:rPr>
          <w:rFonts w:hint="eastAsia"/>
          <w:sz w:val="24"/>
          <w:lang w:val="zh-CN"/>
        </w:rPr>
      </w:pPr>
    </w:p>
    <w:p>
      <w:pPr>
        <w:adjustRightInd w:val="0"/>
        <w:snapToGrid w:val="0"/>
        <w:spacing w:line="360" w:lineRule="auto"/>
        <w:ind w:firstLine="723" w:firstLineChars="200"/>
        <w:jc w:val="center"/>
        <w:rPr>
          <w:rFonts w:ascii="宋体" w:cs="宋体"/>
          <w:b/>
          <w:bCs/>
          <w:sz w:val="36"/>
          <w:szCs w:val="36"/>
        </w:rPr>
      </w:pPr>
      <w:r>
        <w:rPr>
          <w:rFonts w:hint="eastAsia" w:ascii="宋体" w:cs="宋体"/>
          <w:b/>
          <w:sz w:val="36"/>
          <w:szCs w:val="36"/>
        </w:rPr>
        <w:br w:type="page"/>
      </w:r>
      <w:bookmarkStart w:id="5" w:name="_Toc27660567"/>
      <w:r>
        <w:rPr>
          <w:rFonts w:hint="eastAsia" w:cs="宋体" w:asciiTheme="minorEastAsia" w:hAnsiTheme="minorEastAsia" w:eastAsiaTheme="minorEastAsia"/>
          <w:b/>
          <w:bCs/>
          <w:sz w:val="36"/>
        </w:rPr>
        <w:t>第六章  响应文件格式</w:t>
      </w:r>
      <w:bookmarkEnd w:id="5"/>
    </w:p>
    <w:p>
      <w:pPr>
        <w:pStyle w:val="10"/>
        <w:ind w:firstLine="2610" w:firstLineChars="500"/>
        <w:rPr>
          <w:rFonts w:ascii="黑体" w:hAnsi="黑体" w:eastAsia="黑体"/>
          <w:b/>
          <w:sz w:val="52"/>
          <w:szCs w:val="52"/>
        </w:rPr>
      </w:pPr>
    </w:p>
    <w:p>
      <w:pPr>
        <w:pStyle w:val="10"/>
        <w:ind w:firstLine="1606" w:firstLineChars="500"/>
        <w:rPr>
          <w:rFonts w:ascii="黑体" w:hAnsi="黑体" w:eastAsia="黑体"/>
          <w:b/>
          <w:sz w:val="32"/>
          <w:szCs w:val="32"/>
        </w:rPr>
      </w:pPr>
    </w:p>
    <w:p>
      <w:pPr>
        <w:pStyle w:val="10"/>
        <w:ind w:firstLine="2610" w:firstLineChars="500"/>
        <w:rPr>
          <w:rFonts w:ascii="黑体" w:hAnsi="黑体" w:eastAsia="黑体"/>
          <w:b/>
          <w:sz w:val="52"/>
          <w:szCs w:val="52"/>
        </w:rPr>
      </w:pPr>
      <w:r>
        <w:rPr>
          <w:rFonts w:hint="eastAsia" w:ascii="黑体" w:hAnsi="黑体" w:eastAsia="黑体"/>
          <w:b/>
          <w:sz w:val="52"/>
          <w:szCs w:val="52"/>
        </w:rPr>
        <w:t>响  应  文  件</w:t>
      </w:r>
    </w:p>
    <w:p>
      <w:pPr>
        <w:pStyle w:val="10"/>
        <w:ind w:firstLine="3080" w:firstLineChars="700"/>
        <w:rPr>
          <w:rFonts w:ascii="黑体" w:hAnsi="黑体" w:eastAsia="黑体"/>
          <w:sz w:val="32"/>
        </w:rPr>
      </w:pPr>
      <w:r>
        <w:rPr>
          <w:rFonts w:hint="eastAsia" w:ascii="黑体" w:hAnsi="黑体" w:eastAsia="黑体"/>
          <w:sz w:val="44"/>
          <w:szCs w:val="44"/>
        </w:rPr>
        <w:t>【正</w:t>
      </w:r>
      <w:r>
        <w:rPr>
          <w:rFonts w:ascii="黑体" w:hAnsi="黑体" w:eastAsia="黑体"/>
          <w:sz w:val="44"/>
          <w:szCs w:val="44"/>
        </w:rPr>
        <w:t>/</w:t>
      </w:r>
      <w:r>
        <w:rPr>
          <w:rFonts w:hint="eastAsia" w:ascii="黑体" w:hAnsi="黑体" w:eastAsia="黑体"/>
          <w:sz w:val="44"/>
          <w:szCs w:val="44"/>
        </w:rPr>
        <w:t>副本】</w:t>
      </w:r>
    </w:p>
    <w:p>
      <w:pPr>
        <w:pStyle w:val="10"/>
        <w:rPr>
          <w:rFonts w:ascii="黑体" w:hAnsi="黑体" w:eastAsia="黑体"/>
          <w:sz w:val="32"/>
        </w:rPr>
      </w:pPr>
    </w:p>
    <w:p>
      <w:pPr>
        <w:pStyle w:val="10"/>
        <w:rPr>
          <w:rFonts w:ascii="黑体" w:hAnsi="黑体" w:eastAsia="黑体"/>
          <w:sz w:val="32"/>
        </w:rPr>
      </w:pPr>
    </w:p>
    <w:p>
      <w:pPr>
        <w:spacing w:line="400" w:lineRule="exact"/>
        <w:ind w:firstLine="1446" w:firstLineChars="400"/>
        <w:rPr>
          <w:rFonts w:ascii="黑体" w:hAnsi="黑体" w:eastAsia="黑体"/>
          <w:b/>
          <w:bCs/>
          <w:sz w:val="36"/>
        </w:rPr>
      </w:pPr>
    </w:p>
    <w:p>
      <w:pPr>
        <w:spacing w:line="400" w:lineRule="exact"/>
        <w:ind w:firstLine="1446" w:firstLineChars="400"/>
        <w:rPr>
          <w:rFonts w:ascii="黑体" w:hAnsi="黑体" w:eastAsia="黑体"/>
          <w:b/>
          <w:bCs/>
          <w:sz w:val="36"/>
        </w:rPr>
      </w:pPr>
      <w:r>
        <w:rPr>
          <w:rFonts w:hint="eastAsia" w:ascii="黑体" w:hAnsi="黑体" w:eastAsia="黑体"/>
          <w:b/>
          <w:bCs/>
          <w:sz w:val="36"/>
        </w:rPr>
        <w:t>项目名称:</w:t>
      </w:r>
    </w:p>
    <w:p>
      <w:pPr>
        <w:pStyle w:val="10"/>
        <w:rPr>
          <w:rFonts w:ascii="黑体" w:hAnsi="黑体" w:eastAsia="黑体"/>
          <w:sz w:val="32"/>
        </w:rPr>
      </w:pPr>
    </w:p>
    <w:p>
      <w:pPr>
        <w:pStyle w:val="10"/>
        <w:ind w:firstLine="1428" w:firstLineChars="395"/>
        <w:rPr>
          <w:rFonts w:ascii="黑体" w:hAnsi="黑体" w:eastAsia="黑体"/>
          <w:b/>
          <w:sz w:val="36"/>
          <w:szCs w:val="24"/>
        </w:rPr>
      </w:pPr>
      <w:r>
        <w:rPr>
          <w:rFonts w:hint="eastAsia" w:ascii="黑体" w:hAnsi="黑体" w:eastAsia="黑体"/>
          <w:b/>
          <w:sz w:val="36"/>
          <w:szCs w:val="24"/>
        </w:rPr>
        <w:t>项目编号:</w:t>
      </w:r>
    </w:p>
    <w:p>
      <w:pPr>
        <w:spacing w:line="400" w:lineRule="exact"/>
        <w:rPr>
          <w:rFonts w:ascii="黑体" w:hAnsi="黑体" w:eastAsia="黑体"/>
          <w:sz w:val="32"/>
          <w:szCs w:val="20"/>
        </w:rPr>
      </w:pPr>
    </w:p>
    <w:p>
      <w:pPr>
        <w:spacing w:line="400" w:lineRule="exact"/>
        <w:rPr>
          <w:rFonts w:ascii="黑体" w:hAnsi="黑体" w:eastAsia="黑体"/>
          <w:sz w:val="32"/>
          <w:szCs w:val="20"/>
        </w:rPr>
      </w:pPr>
    </w:p>
    <w:p>
      <w:pPr>
        <w:spacing w:line="400" w:lineRule="exact"/>
        <w:rPr>
          <w:rFonts w:ascii="黑体" w:hAnsi="黑体" w:eastAsia="黑体"/>
          <w:sz w:val="32"/>
          <w:szCs w:val="20"/>
        </w:rPr>
      </w:pPr>
    </w:p>
    <w:p>
      <w:pPr>
        <w:spacing w:line="400" w:lineRule="exact"/>
        <w:rPr>
          <w:rFonts w:ascii="黑体" w:hAnsi="黑体" w:eastAsia="黑体"/>
          <w:sz w:val="32"/>
          <w:szCs w:val="20"/>
        </w:rPr>
      </w:pPr>
    </w:p>
    <w:p>
      <w:pPr>
        <w:spacing w:line="400" w:lineRule="exact"/>
        <w:rPr>
          <w:rFonts w:ascii="黑体" w:hAnsi="黑体" w:eastAsia="黑体"/>
          <w:sz w:val="32"/>
          <w:szCs w:val="20"/>
        </w:rPr>
      </w:pPr>
    </w:p>
    <w:p>
      <w:pPr>
        <w:spacing w:line="400" w:lineRule="exact"/>
        <w:ind w:firstLine="1428" w:firstLineChars="395"/>
        <w:rPr>
          <w:rFonts w:ascii="黑体" w:hAnsi="黑体" w:eastAsia="黑体"/>
          <w:b/>
          <w:bCs/>
          <w:sz w:val="36"/>
        </w:rPr>
      </w:pPr>
    </w:p>
    <w:p>
      <w:pPr>
        <w:adjustRightInd w:val="0"/>
        <w:snapToGrid w:val="0"/>
        <w:spacing w:line="360" w:lineRule="auto"/>
        <w:ind w:firstLine="1428" w:firstLineChars="395"/>
        <w:rPr>
          <w:rFonts w:ascii="黑体" w:hAnsi="黑体" w:eastAsia="黑体"/>
          <w:b/>
          <w:bCs/>
          <w:sz w:val="32"/>
        </w:rPr>
      </w:pPr>
      <w:r>
        <w:rPr>
          <w:rFonts w:hint="eastAsia" w:ascii="黑体" w:hAnsi="黑体" w:eastAsia="黑体"/>
          <w:b/>
          <w:bCs/>
          <w:sz w:val="36"/>
        </w:rPr>
        <w:t>供应商名称:</w:t>
      </w:r>
    </w:p>
    <w:p>
      <w:pPr>
        <w:adjustRightInd w:val="0"/>
        <w:snapToGrid w:val="0"/>
        <w:spacing w:line="360" w:lineRule="auto"/>
        <w:ind w:firstLine="1428" w:firstLineChars="395"/>
        <w:rPr>
          <w:rFonts w:ascii="黑体" w:hAnsi="黑体" w:eastAsia="黑体"/>
          <w:b/>
          <w:bCs/>
          <w:sz w:val="36"/>
        </w:rPr>
      </w:pPr>
      <w:r>
        <w:rPr>
          <w:rFonts w:hint="eastAsia" w:ascii="黑体" w:hAnsi="黑体" w:eastAsia="黑体"/>
          <w:b/>
          <w:bCs/>
          <w:sz w:val="36"/>
        </w:rPr>
        <w:t>供应商地址：</w:t>
      </w:r>
    </w:p>
    <w:p>
      <w:pPr>
        <w:adjustRightInd w:val="0"/>
        <w:snapToGrid w:val="0"/>
        <w:spacing w:line="360" w:lineRule="auto"/>
        <w:ind w:firstLine="1428" w:firstLineChars="395"/>
        <w:rPr>
          <w:rFonts w:ascii="黑体" w:hAnsi="黑体" w:eastAsia="黑体"/>
          <w:b/>
          <w:bCs/>
          <w:sz w:val="36"/>
        </w:rPr>
      </w:pPr>
      <w:r>
        <w:rPr>
          <w:rFonts w:hint="eastAsia" w:ascii="黑体" w:hAnsi="黑体" w:eastAsia="黑体"/>
          <w:b/>
          <w:bCs/>
          <w:sz w:val="36"/>
        </w:rPr>
        <w:t>联 系 人：</w:t>
      </w:r>
    </w:p>
    <w:p>
      <w:pPr>
        <w:adjustRightInd w:val="0"/>
        <w:snapToGrid w:val="0"/>
        <w:spacing w:line="360" w:lineRule="auto"/>
        <w:ind w:firstLine="1428" w:firstLineChars="395"/>
        <w:rPr>
          <w:rFonts w:ascii="黑体" w:hAnsi="黑体" w:eastAsia="黑体"/>
          <w:b/>
          <w:bCs/>
          <w:sz w:val="36"/>
        </w:rPr>
      </w:pPr>
      <w:r>
        <w:rPr>
          <w:rFonts w:hint="eastAsia" w:ascii="黑体" w:hAnsi="黑体" w:eastAsia="黑体"/>
          <w:b/>
          <w:bCs/>
          <w:sz w:val="36"/>
        </w:rPr>
        <w:t xml:space="preserve">联系电话：                 </w:t>
      </w:r>
    </w:p>
    <w:p>
      <w:pPr>
        <w:adjustRightInd w:val="0"/>
        <w:snapToGrid w:val="0"/>
        <w:spacing w:line="360" w:lineRule="auto"/>
        <w:ind w:firstLine="1428" w:firstLineChars="395"/>
        <w:rPr>
          <w:rFonts w:ascii="黑体" w:hAnsi="黑体" w:eastAsia="黑体"/>
          <w:b/>
          <w:bCs/>
          <w:sz w:val="36"/>
        </w:rPr>
      </w:pPr>
      <w:r>
        <w:rPr>
          <w:rFonts w:hint="eastAsia" w:ascii="黑体" w:hAnsi="黑体" w:eastAsia="黑体"/>
          <w:b/>
          <w:bCs/>
          <w:sz w:val="36"/>
        </w:rPr>
        <w:t>传    真：</w:t>
      </w:r>
    </w:p>
    <w:p>
      <w:pPr>
        <w:pStyle w:val="10"/>
        <w:ind w:firstLine="2645" w:firstLineChars="732"/>
        <w:rPr>
          <w:rFonts w:ascii="黑体" w:hAnsi="黑体" w:eastAsia="黑体"/>
          <w:b/>
          <w:sz w:val="32"/>
        </w:rPr>
      </w:pPr>
      <w:r>
        <w:rPr>
          <w:rFonts w:hint="eastAsia" w:ascii="黑体" w:hAnsi="黑体" w:eastAsia="黑体"/>
          <w:b/>
          <w:sz w:val="36"/>
          <w:szCs w:val="24"/>
        </w:rPr>
        <w:t>二0二0年    月    日</w:t>
      </w:r>
    </w:p>
    <w:p>
      <w:pPr>
        <w:adjustRightInd w:val="0"/>
        <w:snapToGrid w:val="0"/>
        <w:spacing w:line="360" w:lineRule="auto"/>
        <w:rPr>
          <w:rFonts w:ascii="宋体" w:hAnsi="宋体" w:cs="宋体"/>
          <w:b/>
          <w:bCs/>
          <w:sz w:val="24"/>
        </w:rPr>
      </w:pPr>
    </w:p>
    <w:p>
      <w:pPr>
        <w:adjustRightInd w:val="0"/>
        <w:snapToGrid w:val="0"/>
        <w:spacing w:line="360" w:lineRule="auto"/>
        <w:rPr>
          <w:rFonts w:ascii="宋体" w:hAnsi="宋体" w:cs="宋体"/>
          <w:b/>
          <w:bCs/>
          <w:sz w:val="24"/>
        </w:rPr>
      </w:pPr>
      <w:r>
        <w:rPr>
          <w:rFonts w:hint="eastAsia" w:ascii="宋体" w:hAnsi="宋体" w:cs="宋体"/>
          <w:b/>
          <w:bCs/>
          <w:sz w:val="24"/>
        </w:rPr>
        <w:t>尊敬的供应商：</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请按照以下文件的要求格式、内容，顺序制作响应文件，并请编制目录及页码，否则可能将影响对响应文件的评价。响应文件格式中所有要求签字和盖章的部分必须按要求进行签字和盖章。</w:t>
      </w:r>
    </w:p>
    <w:p>
      <w:pPr>
        <w:pStyle w:val="10"/>
        <w:adjustRightInd w:val="0"/>
        <w:snapToGrid w:val="0"/>
        <w:spacing w:before="319" w:beforeLines="100" w:after="159" w:afterLines="50" w:line="360" w:lineRule="auto"/>
        <w:jc w:val="center"/>
        <w:rPr>
          <w:rFonts w:hAnsi="宋体" w:cs="宋体"/>
          <w:b/>
          <w:sz w:val="30"/>
          <w:szCs w:val="30"/>
        </w:rPr>
      </w:pPr>
      <w:r>
        <w:rPr>
          <w:rFonts w:hint="eastAsia" w:hAnsi="宋体" w:cs="宋体"/>
          <w:b/>
          <w:sz w:val="30"/>
          <w:szCs w:val="30"/>
        </w:rPr>
        <w:br w:type="page"/>
      </w:r>
      <w:r>
        <w:rPr>
          <w:rFonts w:hint="eastAsia" w:hAnsi="宋体" w:cs="宋体"/>
          <w:b/>
          <w:sz w:val="30"/>
          <w:szCs w:val="30"/>
        </w:rPr>
        <w:t>一、磋商函</w:t>
      </w:r>
    </w:p>
    <w:p>
      <w:pPr>
        <w:pStyle w:val="25"/>
        <w:snapToGrid w:val="0"/>
        <w:ind w:firstLine="0"/>
        <w:rPr>
          <w:rFonts w:ascii="宋体" w:hAnsi="宋体" w:cs="宋体"/>
        </w:rPr>
      </w:pPr>
      <w:r>
        <w:rPr>
          <w:rFonts w:hint="eastAsia" w:ascii="宋体" w:hAnsi="宋体" w:cs="宋体"/>
        </w:rPr>
        <w:t>致: 淮阴师范学院</w:t>
      </w:r>
    </w:p>
    <w:p>
      <w:pPr>
        <w:pStyle w:val="25"/>
        <w:snapToGrid w:val="0"/>
        <w:ind w:firstLineChars="200"/>
        <w:rPr>
          <w:rFonts w:ascii="宋体" w:hAnsi="宋体" w:cs="宋体"/>
        </w:rPr>
      </w:pPr>
      <w:r>
        <w:rPr>
          <w:rFonts w:hint="eastAsia" w:ascii="宋体" w:hAnsi="宋体" w:cs="宋体"/>
        </w:rPr>
        <w:t>关于</w:t>
      </w:r>
      <w:r>
        <w:rPr>
          <w:rFonts w:hint="eastAsia" w:ascii="宋体" w:hAnsi="宋体" w:cs="宋体"/>
          <w:u w:val="single"/>
        </w:rPr>
        <w:t xml:space="preserve">             </w:t>
      </w:r>
      <w:r>
        <w:rPr>
          <w:rFonts w:hint="eastAsia" w:ascii="宋体" w:hAnsi="宋体" w:cs="宋体"/>
        </w:rPr>
        <w:t xml:space="preserve">采购项目（项目编号: </w:t>
      </w:r>
      <w:r>
        <w:rPr>
          <w:rFonts w:hint="eastAsia" w:ascii="宋体" w:hAnsi="宋体" w:cs="宋体"/>
          <w:u w:val="single"/>
        </w:rPr>
        <w:t xml:space="preserve">        </w:t>
      </w:r>
      <w:r>
        <w:rPr>
          <w:rFonts w:hint="eastAsia" w:ascii="宋体" w:hAnsi="宋体" w:cs="宋体"/>
        </w:rPr>
        <w:t>）磋商文件（包括更正公告，如果有的话）收悉，我们经详细审阅和研究，现决定参加本项目磋商。同时，正式授权下述签字人</w:t>
      </w:r>
      <w:r>
        <w:rPr>
          <w:rFonts w:hint="eastAsia" w:ascii="宋体" w:hAnsi="宋体" w:cs="宋体"/>
          <w:u w:val="single"/>
        </w:rPr>
        <w:t xml:space="preserve">      </w:t>
      </w:r>
      <w:r>
        <w:rPr>
          <w:rFonts w:hint="eastAsia" w:ascii="宋体" w:hAnsi="宋体" w:cs="宋体"/>
        </w:rPr>
        <w:t>（姓名和职务）代表</w:t>
      </w:r>
      <w:r>
        <w:rPr>
          <w:rFonts w:hint="eastAsia" w:ascii="宋体" w:hAnsi="宋体" w:cs="宋体"/>
          <w:u w:val="single"/>
        </w:rPr>
        <w:t xml:space="preserve">           （</w:t>
      </w:r>
      <w:r>
        <w:rPr>
          <w:rFonts w:hint="eastAsia" w:ascii="宋体" w:hAnsi="宋体" w:cs="宋体"/>
        </w:rPr>
        <w:t>供应商单位名称），全权处理本次项目磋商的有关事宜。</w:t>
      </w:r>
    </w:p>
    <w:p>
      <w:pPr>
        <w:tabs>
          <w:tab w:val="left" w:pos="7560"/>
        </w:tabs>
        <w:adjustRightInd w:val="0"/>
        <w:snapToGrid w:val="0"/>
        <w:spacing w:line="360" w:lineRule="auto"/>
        <w:ind w:firstLine="480" w:firstLineChars="200"/>
        <w:jc w:val="left"/>
        <w:rPr>
          <w:rFonts w:ascii="宋体" w:hAnsi="宋体" w:cs="宋体"/>
          <w:sz w:val="24"/>
        </w:rPr>
      </w:pPr>
      <w:r>
        <w:rPr>
          <w:rFonts w:hint="eastAsia" w:ascii="宋体" w:hAnsi="宋体" w:cs="宋体"/>
          <w:sz w:val="24"/>
        </w:rPr>
        <w:t xml:space="preserve">1、按磋商文件规定的各项要求，我方愿以人民币 </w:t>
      </w:r>
      <w:r>
        <w:rPr>
          <w:rFonts w:hint="eastAsia" w:ascii="宋体" w:hAnsi="宋体" w:cs="宋体"/>
          <w:sz w:val="24"/>
          <w:u w:val="single"/>
        </w:rPr>
        <w:t xml:space="preserve">                   (大写)</w:t>
      </w:r>
      <w:r>
        <w:rPr>
          <w:rFonts w:hint="eastAsia" w:ascii="宋体" w:hAnsi="宋体" w:cs="宋体"/>
          <w:sz w:val="24"/>
        </w:rPr>
        <w:t>元（RMB</w:t>
      </w:r>
      <w:r>
        <w:rPr>
          <w:rFonts w:hint="eastAsia" w:ascii="宋体" w:hAnsi="宋体" w:cs="宋体"/>
          <w:sz w:val="24"/>
          <w:u w:val="single"/>
        </w:rPr>
        <w:t xml:space="preserve">￥           </w:t>
      </w:r>
      <w:r>
        <w:rPr>
          <w:rFonts w:hint="eastAsia" w:ascii="宋体" w:hAnsi="宋体" w:cs="宋体"/>
          <w:sz w:val="24"/>
        </w:rPr>
        <w:t>元）的磋商报价并按磋商文件的规定要求提供所需货物和服务。</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2、我们接受磋商文件的所有的条款和规定。</w:t>
      </w:r>
    </w:p>
    <w:p>
      <w:pPr>
        <w:tabs>
          <w:tab w:val="left" w:pos="7560"/>
        </w:tabs>
        <w:adjustRightInd w:val="0"/>
        <w:snapToGrid w:val="0"/>
        <w:spacing w:line="360" w:lineRule="auto"/>
        <w:ind w:firstLine="480" w:firstLineChars="200"/>
        <w:jc w:val="left"/>
        <w:rPr>
          <w:rFonts w:ascii="宋体" w:hAnsi="宋体" w:cs="宋体"/>
          <w:sz w:val="24"/>
        </w:rPr>
      </w:pPr>
      <w:r>
        <w:rPr>
          <w:rFonts w:hint="eastAsia" w:ascii="宋体" w:hAnsi="宋体" w:cs="宋体"/>
          <w:sz w:val="24"/>
        </w:rPr>
        <w:t>3、我方同意按照磋商文件中第16条规定，本响应文件的有效期为从磋商之日起计算90天，在此期间，本响应文件将始终对我们具有约束力，并可随时被接受。如果我们成交，本响应文件在此期间之后将继续保持有效，直到合同生效。如果在磋商后规定的磋商有效期内撤回响应文件，我们的磋商保证金可被贵方不予退还。</w:t>
      </w:r>
    </w:p>
    <w:p>
      <w:pPr>
        <w:tabs>
          <w:tab w:val="left" w:pos="7560"/>
        </w:tabs>
        <w:adjustRightInd w:val="0"/>
        <w:snapToGrid w:val="0"/>
        <w:spacing w:line="360" w:lineRule="auto"/>
        <w:ind w:firstLine="480" w:firstLineChars="200"/>
        <w:jc w:val="left"/>
        <w:rPr>
          <w:rFonts w:ascii="宋体" w:hAnsi="宋体" w:cs="宋体"/>
          <w:sz w:val="24"/>
        </w:rPr>
      </w:pPr>
      <w:r>
        <w:rPr>
          <w:rFonts w:hint="eastAsia" w:ascii="宋体" w:hAnsi="宋体" w:cs="宋体"/>
          <w:sz w:val="24"/>
        </w:rPr>
        <w:t>4、我们同意向贵方提供贵方可能要求的与磋商有关的任何证据或资料，并保证所提供的都是真实的、准确的。</w:t>
      </w:r>
    </w:p>
    <w:p>
      <w:pPr>
        <w:tabs>
          <w:tab w:val="left" w:pos="7560"/>
        </w:tabs>
        <w:adjustRightInd w:val="0"/>
        <w:snapToGrid w:val="0"/>
        <w:spacing w:line="360" w:lineRule="auto"/>
        <w:ind w:firstLine="480" w:firstLineChars="200"/>
        <w:jc w:val="left"/>
        <w:rPr>
          <w:rFonts w:ascii="宋体" w:hAnsi="宋体" w:cs="宋体"/>
          <w:sz w:val="24"/>
        </w:rPr>
      </w:pPr>
      <w:r>
        <w:rPr>
          <w:rFonts w:hint="eastAsia" w:ascii="宋体" w:hAnsi="宋体" w:cs="宋体"/>
          <w:sz w:val="24"/>
        </w:rPr>
        <w:t>5、一旦我方成交，我方将按照磋商文件的规定，严格履行合同的责任和义务，并保证按磋商文件中规定的时间内提供所需服务。否则我们的履约保证金将被贵方不予退还。</w:t>
      </w:r>
    </w:p>
    <w:p>
      <w:pPr>
        <w:pStyle w:val="10"/>
        <w:adjustRightInd w:val="0"/>
        <w:snapToGrid w:val="0"/>
        <w:spacing w:line="360" w:lineRule="auto"/>
        <w:ind w:firstLine="480" w:firstLineChars="200"/>
        <w:jc w:val="left"/>
        <w:rPr>
          <w:rFonts w:hAnsi="宋体" w:cs="宋体"/>
          <w:sz w:val="24"/>
          <w:szCs w:val="24"/>
        </w:rPr>
      </w:pPr>
    </w:p>
    <w:p>
      <w:pPr>
        <w:pStyle w:val="10"/>
        <w:adjustRightInd w:val="0"/>
        <w:snapToGrid w:val="0"/>
        <w:spacing w:line="360" w:lineRule="auto"/>
        <w:ind w:firstLine="480" w:firstLineChars="200"/>
        <w:jc w:val="left"/>
        <w:rPr>
          <w:rFonts w:hAnsi="宋体" w:cs="宋体"/>
          <w:sz w:val="24"/>
          <w:szCs w:val="24"/>
          <w:u w:val="single"/>
        </w:rPr>
      </w:pPr>
      <w:r>
        <w:rPr>
          <w:rFonts w:hint="eastAsia" w:hAnsi="宋体" w:cs="宋体"/>
          <w:sz w:val="24"/>
          <w:szCs w:val="24"/>
        </w:rPr>
        <w:t>供应商名称:</w:t>
      </w:r>
      <w:r>
        <w:rPr>
          <w:rFonts w:hint="eastAsia" w:hAnsi="宋体" w:cs="宋体"/>
          <w:sz w:val="24"/>
          <w:szCs w:val="24"/>
          <w:u w:val="single"/>
        </w:rPr>
        <w:t xml:space="preserve">                      （盖公章）</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 xml:space="preserve">地址: </w:t>
      </w:r>
      <w:r>
        <w:rPr>
          <w:rFonts w:hint="eastAsia" w:ascii="宋体" w:hAnsi="宋体" w:cs="宋体"/>
          <w:sz w:val="24"/>
          <w:u w:val="single"/>
        </w:rPr>
        <w:t xml:space="preserve">                                     </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 xml:space="preserve">邮编: </w:t>
      </w:r>
      <w:r>
        <w:rPr>
          <w:rFonts w:hint="eastAsia" w:ascii="宋体" w:hAnsi="宋体" w:cs="宋体"/>
          <w:sz w:val="24"/>
          <w:u w:val="single"/>
        </w:rPr>
        <w:t xml:space="preserve">                                     </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 xml:space="preserve">电话: </w:t>
      </w:r>
      <w:r>
        <w:rPr>
          <w:rFonts w:hint="eastAsia" w:ascii="宋体" w:hAnsi="宋体" w:cs="宋体"/>
          <w:sz w:val="24"/>
          <w:u w:val="single"/>
        </w:rPr>
        <w:t xml:space="preserve">                                     </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 xml:space="preserve">传真: </w:t>
      </w:r>
      <w:r>
        <w:rPr>
          <w:rFonts w:hint="eastAsia" w:ascii="宋体" w:hAnsi="宋体" w:cs="宋体"/>
          <w:sz w:val="24"/>
          <w:u w:val="single"/>
        </w:rPr>
        <w:t xml:space="preserve">                                     </w:t>
      </w:r>
    </w:p>
    <w:p>
      <w:pPr>
        <w:pStyle w:val="10"/>
        <w:adjustRightInd w:val="0"/>
        <w:snapToGrid w:val="0"/>
        <w:spacing w:line="360" w:lineRule="auto"/>
        <w:ind w:firstLine="480" w:firstLineChars="200"/>
        <w:jc w:val="left"/>
        <w:rPr>
          <w:rFonts w:hAnsi="宋体" w:cs="宋体"/>
          <w:sz w:val="24"/>
          <w:szCs w:val="24"/>
          <w:u w:val="single"/>
        </w:rPr>
      </w:pPr>
      <w:r>
        <w:rPr>
          <w:rFonts w:hint="eastAsia" w:hAnsi="宋体" w:cs="宋体"/>
          <w:sz w:val="24"/>
          <w:szCs w:val="24"/>
        </w:rPr>
        <w:t>法定代表人或其委托受托人:</w:t>
      </w:r>
      <w:r>
        <w:rPr>
          <w:rFonts w:hint="eastAsia" w:hAnsi="宋体" w:cs="宋体"/>
          <w:sz w:val="24"/>
        </w:rPr>
        <w:t xml:space="preserve"> </w:t>
      </w:r>
      <w:r>
        <w:rPr>
          <w:rFonts w:hint="eastAsia" w:hAnsi="宋体" w:cs="宋体"/>
          <w:sz w:val="24"/>
          <w:u w:val="single"/>
        </w:rPr>
        <w:t xml:space="preserve">         </w:t>
      </w:r>
      <w:r>
        <w:rPr>
          <w:rFonts w:hint="eastAsia" w:hAnsi="宋体" w:cs="宋体"/>
          <w:sz w:val="24"/>
          <w:szCs w:val="24"/>
          <w:u w:val="single"/>
        </w:rPr>
        <w:t>（签字）</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 xml:space="preserve">职务: </w:t>
      </w:r>
      <w:r>
        <w:rPr>
          <w:rFonts w:hint="eastAsia" w:ascii="宋体" w:hAnsi="宋体" w:cs="宋体"/>
          <w:sz w:val="24"/>
          <w:u w:val="single"/>
        </w:rPr>
        <w:t xml:space="preserve">                                     </w:t>
      </w:r>
    </w:p>
    <w:p>
      <w:pPr>
        <w:pStyle w:val="10"/>
        <w:adjustRightInd w:val="0"/>
        <w:snapToGrid w:val="0"/>
        <w:spacing w:line="360" w:lineRule="auto"/>
        <w:ind w:firstLine="480" w:firstLineChars="200"/>
        <w:jc w:val="left"/>
        <w:rPr>
          <w:rFonts w:hAnsi="宋体" w:cs="宋体"/>
          <w:kern w:val="0"/>
          <w:sz w:val="24"/>
          <w:szCs w:val="24"/>
        </w:rPr>
      </w:pPr>
      <w:r>
        <w:rPr>
          <w:rFonts w:hint="eastAsia" w:hAnsi="宋体" w:cs="宋体"/>
          <w:sz w:val="24"/>
          <w:szCs w:val="24"/>
        </w:rPr>
        <w:t>日期:</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adjustRightInd w:val="0"/>
        <w:snapToGrid w:val="0"/>
        <w:spacing w:line="360" w:lineRule="auto"/>
        <w:ind w:firstLine="472" w:firstLineChars="196"/>
        <w:rPr>
          <w:rFonts w:ascii="宋体" w:hAnsi="宋体" w:cs="宋体"/>
          <w:b/>
          <w:kern w:val="0"/>
          <w:sz w:val="24"/>
        </w:rPr>
      </w:pPr>
    </w:p>
    <w:p>
      <w:pPr>
        <w:pStyle w:val="10"/>
        <w:adjustRightInd w:val="0"/>
        <w:snapToGrid w:val="0"/>
        <w:spacing w:line="360" w:lineRule="auto"/>
        <w:ind w:firstLine="472" w:firstLineChars="196"/>
        <w:rPr>
          <w:rFonts w:hAnsi="宋体" w:cs="宋体"/>
          <w:b/>
          <w:sz w:val="24"/>
          <w:szCs w:val="24"/>
        </w:rPr>
      </w:pPr>
      <w:r>
        <w:rPr>
          <w:rFonts w:hint="eastAsia" w:hAnsi="宋体" w:cs="宋体"/>
          <w:b/>
          <w:kern w:val="0"/>
          <w:sz w:val="24"/>
          <w:szCs w:val="24"/>
        </w:rPr>
        <w:t>注:请供应商另准备多份（建议不少于2份）空白磋商函（加盖供应商公章），以备多轮报价用。</w:t>
      </w:r>
    </w:p>
    <w:p>
      <w:pPr>
        <w:pStyle w:val="10"/>
        <w:jc w:val="center"/>
        <w:rPr>
          <w:rFonts w:hAnsi="宋体" w:cs="宋体"/>
          <w:b/>
          <w:sz w:val="32"/>
          <w:szCs w:val="32"/>
        </w:rPr>
      </w:pPr>
      <w:r>
        <w:rPr>
          <w:rFonts w:hint="eastAsia" w:hAnsi="宋体" w:cs="宋体"/>
          <w:b/>
          <w:sz w:val="30"/>
          <w:szCs w:val="30"/>
        </w:rPr>
        <w:t>二、</w:t>
      </w:r>
      <w:r>
        <w:rPr>
          <w:rFonts w:hint="eastAsia" w:hAnsi="宋体" w:cs="宋体"/>
          <w:b/>
          <w:sz w:val="32"/>
          <w:szCs w:val="32"/>
        </w:rPr>
        <w:t>报价明细表</w:t>
      </w:r>
    </w:p>
    <w:p>
      <w:pPr>
        <w:pStyle w:val="10"/>
        <w:rPr>
          <w:rFonts w:hAnsi="宋体" w:cs="宋体"/>
          <w:b/>
          <w:sz w:val="32"/>
          <w:szCs w:val="32"/>
        </w:rPr>
      </w:pPr>
      <w:r>
        <w:rPr>
          <w:rFonts w:hint="eastAsia" w:hAnsi="宋体" w:cs="宋体"/>
          <w:b/>
          <w:sz w:val="32"/>
          <w:szCs w:val="32"/>
        </w:rPr>
        <w:t>（一）设备部分</w:t>
      </w:r>
    </w:p>
    <w:tbl>
      <w:tblPr>
        <w:tblStyle w:val="20"/>
        <w:tblW w:w="8902"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561"/>
        <w:gridCol w:w="1443"/>
        <w:gridCol w:w="781"/>
        <w:gridCol w:w="780"/>
        <w:gridCol w:w="781"/>
        <w:gridCol w:w="1093"/>
        <w:gridCol w:w="93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rPr>
                <w:rFonts w:hAnsi="宋体" w:cs="宋体"/>
                <w:sz w:val="24"/>
                <w:szCs w:val="24"/>
              </w:rPr>
            </w:pPr>
            <w:r>
              <w:rPr>
                <w:rFonts w:hint="eastAsia" w:hAnsi="宋体" w:cs="宋体"/>
                <w:sz w:val="24"/>
                <w:szCs w:val="24"/>
              </w:rPr>
              <w:t>序号</w:t>
            </w:r>
          </w:p>
        </w:tc>
        <w:tc>
          <w:tcPr>
            <w:tcW w:w="1561" w:type="dxa"/>
            <w:vAlign w:val="center"/>
          </w:tcPr>
          <w:p>
            <w:pPr>
              <w:pStyle w:val="10"/>
              <w:spacing w:line="340" w:lineRule="exact"/>
              <w:jc w:val="center"/>
              <w:rPr>
                <w:rFonts w:hAnsi="宋体" w:cs="宋体"/>
                <w:sz w:val="24"/>
                <w:szCs w:val="24"/>
              </w:rPr>
            </w:pPr>
            <w:r>
              <w:rPr>
                <w:rFonts w:hint="eastAsia" w:hAnsi="宋体" w:cs="宋体"/>
                <w:sz w:val="24"/>
                <w:szCs w:val="24"/>
              </w:rPr>
              <w:t>设备名称</w:t>
            </w:r>
          </w:p>
        </w:tc>
        <w:tc>
          <w:tcPr>
            <w:tcW w:w="1443" w:type="dxa"/>
            <w:vAlign w:val="center"/>
          </w:tcPr>
          <w:p>
            <w:pPr>
              <w:pStyle w:val="10"/>
              <w:spacing w:line="340" w:lineRule="exact"/>
              <w:jc w:val="center"/>
              <w:rPr>
                <w:rFonts w:hAnsi="宋体" w:cs="宋体"/>
                <w:sz w:val="24"/>
                <w:szCs w:val="24"/>
              </w:rPr>
            </w:pPr>
            <w:r>
              <w:rPr>
                <w:rFonts w:hint="eastAsia" w:hAnsi="宋体" w:cs="宋体"/>
                <w:sz w:val="24"/>
                <w:szCs w:val="24"/>
              </w:rPr>
              <w:t>品牌型号</w:t>
            </w:r>
          </w:p>
        </w:tc>
        <w:tc>
          <w:tcPr>
            <w:tcW w:w="781" w:type="dxa"/>
            <w:vAlign w:val="center"/>
          </w:tcPr>
          <w:p>
            <w:pPr>
              <w:pStyle w:val="10"/>
              <w:spacing w:line="340" w:lineRule="exact"/>
              <w:ind w:left="120" w:hanging="120" w:hangingChars="50"/>
              <w:rPr>
                <w:rFonts w:hAnsi="宋体" w:cs="宋体"/>
                <w:sz w:val="24"/>
                <w:szCs w:val="24"/>
              </w:rPr>
            </w:pPr>
            <w:r>
              <w:rPr>
                <w:rFonts w:hint="eastAsia" w:hAnsi="宋体" w:cs="宋体"/>
                <w:sz w:val="24"/>
                <w:szCs w:val="24"/>
              </w:rPr>
              <w:t>数量</w:t>
            </w:r>
          </w:p>
        </w:tc>
        <w:tc>
          <w:tcPr>
            <w:tcW w:w="780" w:type="dxa"/>
            <w:vAlign w:val="center"/>
          </w:tcPr>
          <w:p>
            <w:pPr>
              <w:pStyle w:val="10"/>
              <w:spacing w:line="340" w:lineRule="exact"/>
              <w:rPr>
                <w:rFonts w:hAnsi="宋体" w:cs="宋体"/>
                <w:sz w:val="24"/>
                <w:szCs w:val="24"/>
              </w:rPr>
            </w:pPr>
            <w:r>
              <w:rPr>
                <w:rFonts w:hint="eastAsia" w:hAnsi="宋体" w:cs="宋体"/>
                <w:sz w:val="24"/>
                <w:szCs w:val="24"/>
              </w:rPr>
              <w:t>单位</w:t>
            </w:r>
          </w:p>
        </w:tc>
        <w:tc>
          <w:tcPr>
            <w:tcW w:w="781" w:type="dxa"/>
            <w:vAlign w:val="center"/>
          </w:tcPr>
          <w:p>
            <w:pPr>
              <w:pStyle w:val="10"/>
              <w:spacing w:line="340" w:lineRule="exact"/>
              <w:jc w:val="center"/>
              <w:rPr>
                <w:rFonts w:hAnsi="宋体" w:cs="宋体"/>
                <w:sz w:val="24"/>
                <w:szCs w:val="24"/>
              </w:rPr>
            </w:pPr>
            <w:r>
              <w:rPr>
                <w:rFonts w:hint="eastAsia" w:hAnsi="宋体" w:cs="宋体"/>
                <w:sz w:val="24"/>
                <w:szCs w:val="24"/>
              </w:rPr>
              <w:t>单价</w:t>
            </w:r>
          </w:p>
        </w:tc>
        <w:tc>
          <w:tcPr>
            <w:tcW w:w="1093" w:type="dxa"/>
            <w:vAlign w:val="center"/>
          </w:tcPr>
          <w:p>
            <w:pPr>
              <w:pStyle w:val="10"/>
              <w:spacing w:line="340" w:lineRule="exact"/>
              <w:jc w:val="center"/>
              <w:rPr>
                <w:rFonts w:hAnsi="宋体" w:cs="宋体"/>
                <w:sz w:val="24"/>
                <w:szCs w:val="24"/>
              </w:rPr>
            </w:pPr>
            <w:r>
              <w:rPr>
                <w:rFonts w:hint="eastAsia" w:hAnsi="宋体" w:cs="宋体"/>
                <w:sz w:val="24"/>
                <w:szCs w:val="24"/>
              </w:rPr>
              <w:t>合价</w:t>
            </w:r>
          </w:p>
        </w:tc>
        <w:tc>
          <w:tcPr>
            <w:tcW w:w="938" w:type="dxa"/>
            <w:vAlign w:val="center"/>
          </w:tcPr>
          <w:p>
            <w:pPr>
              <w:pStyle w:val="10"/>
              <w:spacing w:line="340" w:lineRule="exact"/>
              <w:jc w:val="center"/>
              <w:rPr>
                <w:rFonts w:hAnsi="宋体" w:cs="宋体"/>
                <w:sz w:val="24"/>
                <w:szCs w:val="24"/>
              </w:rPr>
            </w:pPr>
            <w:r>
              <w:rPr>
                <w:rFonts w:hint="eastAsia" w:hAnsi="宋体" w:cs="宋体"/>
                <w:sz w:val="24"/>
                <w:szCs w:val="24"/>
              </w:rPr>
              <w:t>生产</w:t>
            </w:r>
          </w:p>
          <w:p>
            <w:pPr>
              <w:pStyle w:val="10"/>
              <w:spacing w:line="340" w:lineRule="exact"/>
              <w:jc w:val="center"/>
              <w:rPr>
                <w:rFonts w:hAnsi="宋体" w:cs="宋体"/>
                <w:sz w:val="24"/>
                <w:szCs w:val="24"/>
              </w:rPr>
            </w:pPr>
            <w:r>
              <w:rPr>
                <w:rFonts w:hint="eastAsia" w:hAnsi="宋体" w:cs="宋体"/>
                <w:sz w:val="24"/>
                <w:szCs w:val="24"/>
              </w:rPr>
              <w:t>厂商</w:t>
            </w:r>
          </w:p>
        </w:tc>
        <w:tc>
          <w:tcPr>
            <w:tcW w:w="937" w:type="dxa"/>
            <w:vAlign w:val="center"/>
          </w:tcPr>
          <w:p>
            <w:pPr>
              <w:widowControl/>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1</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2</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3</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p>
        </w:tc>
        <w:tc>
          <w:tcPr>
            <w:tcW w:w="1561" w:type="dxa"/>
            <w:vAlign w:val="center"/>
          </w:tcPr>
          <w:p>
            <w:pPr>
              <w:pStyle w:val="10"/>
              <w:spacing w:line="340" w:lineRule="exact"/>
              <w:jc w:val="center"/>
              <w:rPr>
                <w:rFonts w:hAnsi="宋体" w:cs="宋体"/>
                <w:sz w:val="24"/>
                <w:szCs w:val="24"/>
              </w:rPr>
            </w:pPr>
            <w:r>
              <w:rPr>
                <w:rFonts w:hint="eastAsia" w:hAnsi="宋体" w:cs="宋体"/>
                <w:sz w:val="24"/>
                <w:szCs w:val="24"/>
              </w:rPr>
              <w:t>安装调试、培训、售后服务等其他所有费用</w:t>
            </w: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p>
        </w:tc>
        <w:tc>
          <w:tcPr>
            <w:tcW w:w="1561" w:type="dxa"/>
            <w:vAlign w:val="center"/>
          </w:tcPr>
          <w:p>
            <w:pPr>
              <w:pStyle w:val="10"/>
              <w:spacing w:line="340" w:lineRule="exact"/>
              <w:jc w:val="center"/>
              <w:rPr>
                <w:rFonts w:hAnsi="宋体" w:cs="宋体"/>
                <w:sz w:val="24"/>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p>
        </w:tc>
        <w:tc>
          <w:tcPr>
            <w:tcW w:w="1561" w:type="dxa"/>
            <w:vAlign w:val="center"/>
          </w:tcPr>
          <w:p>
            <w:pPr>
              <w:pStyle w:val="10"/>
              <w:spacing w:line="340" w:lineRule="exact"/>
              <w:jc w:val="center"/>
              <w:rPr>
                <w:rFonts w:hAnsi="宋体" w:cs="宋体"/>
                <w:sz w:val="24"/>
                <w:szCs w:val="24"/>
              </w:rPr>
            </w:pPr>
            <w:r>
              <w:rPr>
                <w:rFonts w:hint="eastAsia" w:hAnsi="宋体" w:cs="宋体"/>
                <w:sz w:val="24"/>
                <w:szCs w:val="24"/>
              </w:rPr>
              <w:t>合计</w:t>
            </w:r>
          </w:p>
        </w:tc>
        <w:tc>
          <w:tcPr>
            <w:tcW w:w="6753" w:type="dxa"/>
            <w:gridSpan w:val="7"/>
            <w:vAlign w:val="center"/>
          </w:tcPr>
          <w:p>
            <w:pPr>
              <w:spacing w:line="360" w:lineRule="auto"/>
              <w:rPr>
                <w:rFonts w:ascii="宋体" w:hAnsi="宋体" w:cs="宋体"/>
                <w:sz w:val="24"/>
                <w:u w:val="single"/>
              </w:rPr>
            </w:pPr>
            <w:r>
              <w:rPr>
                <w:rFonts w:hint="eastAsia" w:ascii="宋体" w:hAnsi="宋体" w:cs="宋体"/>
                <w:sz w:val="24"/>
              </w:rPr>
              <w:t xml:space="preserve">（小写）¥ </w:t>
            </w:r>
            <w:r>
              <w:rPr>
                <w:rFonts w:hint="eastAsia" w:ascii="宋体" w:hAnsi="宋体" w:cs="宋体"/>
                <w:sz w:val="24"/>
                <w:u w:val="single"/>
              </w:rPr>
              <w:t xml:space="preserve">                                  </w:t>
            </w:r>
          </w:p>
          <w:p>
            <w:pPr>
              <w:widowControl/>
              <w:jc w:val="left"/>
              <w:rPr>
                <w:rFonts w:ascii="宋体" w:hAnsi="宋体" w:cs="宋体"/>
                <w:sz w:val="24"/>
              </w:rPr>
            </w:pPr>
            <w:r>
              <w:rPr>
                <w:rFonts w:hint="eastAsia" w:ascii="宋体" w:hAnsi="宋体" w:cs="宋体"/>
                <w:sz w:val="24"/>
              </w:rPr>
              <w:t>（大写）人民币</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万</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元整</w:t>
            </w:r>
          </w:p>
        </w:tc>
      </w:tr>
    </w:tbl>
    <w:p>
      <w:pPr>
        <w:spacing w:line="520" w:lineRule="exact"/>
        <w:ind w:left="-708" w:leftChars="-337" w:firstLine="480" w:firstLineChars="200"/>
        <w:rPr>
          <w:rFonts w:ascii="宋体" w:hAnsi="宋体" w:cs="宋体"/>
          <w:sz w:val="24"/>
        </w:rPr>
      </w:pPr>
      <w:r>
        <w:rPr>
          <w:rFonts w:hint="eastAsia" w:ascii="宋体" w:hAnsi="宋体" w:cs="宋体"/>
          <w:sz w:val="24"/>
        </w:rPr>
        <w:t xml:space="preserve">供应商: </w:t>
      </w:r>
      <w:r>
        <w:rPr>
          <w:rFonts w:hint="eastAsia" w:ascii="宋体" w:hAnsi="宋体" w:cs="宋体"/>
          <w:sz w:val="24"/>
          <w:u w:val="single"/>
        </w:rPr>
        <w:t xml:space="preserve">     （加盖公章）     </w:t>
      </w:r>
      <w:r>
        <w:rPr>
          <w:rFonts w:hint="eastAsia" w:ascii="宋体" w:hAnsi="宋体" w:cs="宋体"/>
          <w:sz w:val="24"/>
        </w:rPr>
        <w:t xml:space="preserve">  </w:t>
      </w:r>
    </w:p>
    <w:p>
      <w:pPr>
        <w:spacing w:line="520" w:lineRule="exact"/>
        <w:ind w:left="-708" w:leftChars="-337" w:firstLine="480" w:firstLineChars="200"/>
        <w:rPr>
          <w:rFonts w:ascii="宋体" w:hAnsi="宋体" w:cs="宋体"/>
          <w:sz w:val="24"/>
          <w:u w:val="single"/>
        </w:rPr>
      </w:pPr>
      <w:r>
        <w:rPr>
          <w:rFonts w:hint="eastAsia" w:ascii="宋体" w:hAnsi="宋体" w:cs="宋体"/>
          <w:sz w:val="24"/>
        </w:rPr>
        <w:t xml:space="preserve">法定代表人或其委托受托人签字: </w:t>
      </w:r>
      <w:r>
        <w:rPr>
          <w:rFonts w:hint="eastAsia" w:ascii="宋体" w:hAnsi="宋体" w:cs="宋体"/>
          <w:sz w:val="24"/>
          <w:u w:val="single"/>
        </w:rPr>
        <w:t xml:space="preserve">                     </w:t>
      </w:r>
    </w:p>
    <w:p>
      <w:pPr>
        <w:tabs>
          <w:tab w:val="left" w:pos="7560"/>
        </w:tabs>
        <w:adjustRightInd w:val="0"/>
        <w:snapToGrid w:val="0"/>
        <w:spacing w:line="360" w:lineRule="auto"/>
        <w:ind w:firstLine="480" w:firstLineChars="200"/>
        <w:jc w:val="left"/>
        <w:rPr>
          <w:rFonts w:ascii="宋体" w:hAnsi="宋体" w:cs="宋体"/>
          <w:sz w:val="24"/>
        </w:rPr>
      </w:pPr>
    </w:p>
    <w:p>
      <w:pPr>
        <w:tabs>
          <w:tab w:val="left" w:pos="7560"/>
        </w:tabs>
        <w:adjustRightInd w:val="0"/>
        <w:snapToGrid w:val="0"/>
        <w:spacing w:line="360" w:lineRule="auto"/>
        <w:ind w:firstLine="480" w:firstLineChars="200"/>
        <w:jc w:val="left"/>
        <w:rPr>
          <w:rFonts w:ascii="宋体" w:hAnsi="宋体" w:cs="宋体"/>
          <w:sz w:val="24"/>
        </w:rPr>
      </w:pPr>
      <w:r>
        <w:rPr>
          <w:rFonts w:hint="eastAsia" w:ascii="宋体" w:hAnsi="宋体" w:cs="宋体"/>
          <w:sz w:val="24"/>
        </w:rPr>
        <w:t>注:（1）此表为表样，行数可自行添加，但表式不变。</w:t>
      </w:r>
    </w:p>
    <w:p>
      <w:pPr>
        <w:tabs>
          <w:tab w:val="left" w:pos="7560"/>
        </w:tabs>
        <w:adjustRightInd w:val="0"/>
        <w:snapToGrid w:val="0"/>
        <w:spacing w:line="360" w:lineRule="auto"/>
        <w:ind w:firstLine="480" w:firstLineChars="200"/>
        <w:jc w:val="left"/>
        <w:rPr>
          <w:rFonts w:ascii="宋体" w:hAnsi="宋体" w:cs="宋体"/>
          <w:sz w:val="24"/>
        </w:rPr>
      </w:pPr>
      <w:r>
        <w:rPr>
          <w:rFonts w:hint="eastAsia" w:ascii="宋体" w:hAnsi="宋体" w:cs="宋体"/>
          <w:sz w:val="24"/>
        </w:rPr>
        <w:t>（2）上述表中的单价应包括全部货物、安装、调试、培训、技术服务、必不可少的部件、标准备件、专用工具等费用。</w:t>
      </w:r>
    </w:p>
    <w:p>
      <w:pPr>
        <w:tabs>
          <w:tab w:val="left" w:pos="7560"/>
        </w:tabs>
        <w:adjustRightInd w:val="0"/>
        <w:snapToGrid w:val="0"/>
        <w:spacing w:line="360" w:lineRule="auto"/>
        <w:ind w:firstLine="480" w:firstLineChars="200"/>
        <w:jc w:val="left"/>
        <w:rPr>
          <w:rFonts w:ascii="宋体" w:hAnsi="宋体" w:cs="宋体"/>
          <w:sz w:val="24"/>
        </w:rPr>
      </w:pPr>
      <w:r>
        <w:rPr>
          <w:rFonts w:hint="eastAsia" w:ascii="宋体" w:hAnsi="宋体" w:cs="宋体"/>
          <w:sz w:val="24"/>
        </w:rPr>
        <w:t>（3）价格应按照磋商文件第二章第12条的要求报价。</w:t>
      </w:r>
    </w:p>
    <w:p>
      <w:pPr>
        <w:pStyle w:val="10"/>
        <w:rPr>
          <w:rFonts w:hAnsi="宋体" w:cs="宋体"/>
          <w:b/>
          <w:sz w:val="32"/>
          <w:szCs w:val="32"/>
        </w:rPr>
      </w:pPr>
    </w:p>
    <w:p>
      <w:pPr>
        <w:pStyle w:val="10"/>
        <w:rPr>
          <w:rFonts w:hAnsi="宋体" w:cs="宋体"/>
          <w:b/>
          <w:sz w:val="32"/>
          <w:szCs w:val="32"/>
        </w:rPr>
      </w:pPr>
      <w:r>
        <w:rPr>
          <w:rFonts w:hint="eastAsia" w:hAnsi="宋体" w:cs="宋体"/>
          <w:b/>
          <w:sz w:val="32"/>
          <w:szCs w:val="32"/>
        </w:rPr>
        <w:t>（二）工程部分</w:t>
      </w:r>
    </w:p>
    <w:tbl>
      <w:tblPr>
        <w:tblStyle w:val="20"/>
        <w:tblW w:w="8902"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561"/>
        <w:gridCol w:w="1443"/>
        <w:gridCol w:w="781"/>
        <w:gridCol w:w="780"/>
        <w:gridCol w:w="781"/>
        <w:gridCol w:w="1093"/>
        <w:gridCol w:w="93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rPr>
                <w:rFonts w:hAnsi="宋体" w:cs="宋体"/>
                <w:sz w:val="24"/>
                <w:szCs w:val="24"/>
              </w:rPr>
            </w:pPr>
            <w:r>
              <w:rPr>
                <w:rFonts w:hint="eastAsia" w:hAnsi="宋体" w:cs="宋体"/>
                <w:sz w:val="24"/>
                <w:szCs w:val="24"/>
              </w:rPr>
              <w:t>序号</w:t>
            </w:r>
          </w:p>
        </w:tc>
        <w:tc>
          <w:tcPr>
            <w:tcW w:w="1561" w:type="dxa"/>
            <w:vAlign w:val="center"/>
          </w:tcPr>
          <w:p>
            <w:pPr>
              <w:pStyle w:val="10"/>
              <w:spacing w:line="340" w:lineRule="exact"/>
              <w:jc w:val="center"/>
              <w:rPr>
                <w:rFonts w:hAnsi="宋体" w:cs="宋体"/>
                <w:sz w:val="24"/>
                <w:szCs w:val="24"/>
              </w:rPr>
            </w:pPr>
            <w:r>
              <w:rPr>
                <w:rFonts w:hint="eastAsia" w:hAnsi="宋体" w:cs="宋体"/>
                <w:sz w:val="24"/>
                <w:szCs w:val="24"/>
              </w:rPr>
              <w:t>项目名称</w:t>
            </w:r>
          </w:p>
        </w:tc>
        <w:tc>
          <w:tcPr>
            <w:tcW w:w="1443" w:type="dxa"/>
            <w:vAlign w:val="center"/>
          </w:tcPr>
          <w:p>
            <w:pPr>
              <w:pStyle w:val="10"/>
              <w:spacing w:line="340" w:lineRule="exact"/>
              <w:jc w:val="center"/>
              <w:rPr>
                <w:rFonts w:hAnsi="宋体" w:cs="宋体"/>
                <w:sz w:val="24"/>
                <w:szCs w:val="24"/>
              </w:rPr>
            </w:pPr>
            <w:r>
              <w:rPr>
                <w:rFonts w:hint="eastAsia" w:hAnsi="宋体" w:cs="宋体"/>
                <w:sz w:val="24"/>
                <w:szCs w:val="24"/>
              </w:rPr>
              <w:t>技术要求</w:t>
            </w:r>
          </w:p>
        </w:tc>
        <w:tc>
          <w:tcPr>
            <w:tcW w:w="781" w:type="dxa"/>
            <w:vAlign w:val="center"/>
          </w:tcPr>
          <w:p>
            <w:pPr>
              <w:pStyle w:val="10"/>
              <w:spacing w:line="340" w:lineRule="exact"/>
              <w:ind w:left="120" w:hanging="120" w:hangingChars="50"/>
              <w:rPr>
                <w:rFonts w:hAnsi="宋体" w:cs="宋体"/>
                <w:sz w:val="24"/>
                <w:szCs w:val="24"/>
              </w:rPr>
            </w:pPr>
            <w:r>
              <w:rPr>
                <w:rFonts w:hint="eastAsia" w:hAnsi="宋体" w:cs="宋体"/>
                <w:sz w:val="24"/>
                <w:szCs w:val="24"/>
              </w:rPr>
              <w:t>数量</w:t>
            </w:r>
          </w:p>
        </w:tc>
        <w:tc>
          <w:tcPr>
            <w:tcW w:w="780" w:type="dxa"/>
            <w:vAlign w:val="center"/>
          </w:tcPr>
          <w:p>
            <w:pPr>
              <w:pStyle w:val="10"/>
              <w:spacing w:line="340" w:lineRule="exact"/>
              <w:rPr>
                <w:rFonts w:hAnsi="宋体" w:cs="宋体"/>
                <w:sz w:val="24"/>
                <w:szCs w:val="24"/>
              </w:rPr>
            </w:pPr>
            <w:r>
              <w:rPr>
                <w:rFonts w:hint="eastAsia" w:hAnsi="宋体" w:cs="宋体"/>
                <w:sz w:val="24"/>
                <w:szCs w:val="24"/>
              </w:rPr>
              <w:t>单位</w:t>
            </w:r>
          </w:p>
        </w:tc>
        <w:tc>
          <w:tcPr>
            <w:tcW w:w="781" w:type="dxa"/>
            <w:vAlign w:val="center"/>
          </w:tcPr>
          <w:p>
            <w:pPr>
              <w:pStyle w:val="10"/>
              <w:spacing w:line="340" w:lineRule="exact"/>
              <w:jc w:val="center"/>
              <w:rPr>
                <w:rFonts w:hAnsi="宋体" w:cs="宋体"/>
                <w:sz w:val="24"/>
                <w:szCs w:val="24"/>
              </w:rPr>
            </w:pPr>
            <w:r>
              <w:rPr>
                <w:rFonts w:hint="eastAsia" w:hAnsi="宋体" w:cs="宋体"/>
                <w:sz w:val="24"/>
                <w:szCs w:val="24"/>
              </w:rPr>
              <w:t>单价</w:t>
            </w:r>
          </w:p>
        </w:tc>
        <w:tc>
          <w:tcPr>
            <w:tcW w:w="1093" w:type="dxa"/>
            <w:vAlign w:val="center"/>
          </w:tcPr>
          <w:p>
            <w:pPr>
              <w:pStyle w:val="10"/>
              <w:spacing w:line="340" w:lineRule="exact"/>
              <w:jc w:val="center"/>
              <w:rPr>
                <w:rFonts w:hAnsi="宋体" w:cs="宋体"/>
                <w:sz w:val="24"/>
                <w:szCs w:val="24"/>
              </w:rPr>
            </w:pPr>
            <w:r>
              <w:rPr>
                <w:rFonts w:hint="eastAsia" w:hAnsi="宋体" w:cs="宋体"/>
                <w:sz w:val="24"/>
                <w:szCs w:val="24"/>
              </w:rPr>
              <w:t>合价</w:t>
            </w:r>
          </w:p>
        </w:tc>
        <w:tc>
          <w:tcPr>
            <w:tcW w:w="938" w:type="dxa"/>
            <w:vAlign w:val="center"/>
          </w:tcPr>
          <w:p>
            <w:pPr>
              <w:pStyle w:val="10"/>
              <w:spacing w:line="340" w:lineRule="exact"/>
              <w:jc w:val="center"/>
              <w:rPr>
                <w:rFonts w:hAnsi="宋体" w:cs="宋体"/>
                <w:sz w:val="24"/>
                <w:szCs w:val="24"/>
              </w:rPr>
            </w:pPr>
            <w:r>
              <w:rPr>
                <w:rFonts w:hint="eastAsia" w:hAnsi="宋体" w:cs="宋体"/>
                <w:sz w:val="24"/>
                <w:szCs w:val="24"/>
              </w:rPr>
              <w:t>主材</w:t>
            </w:r>
          </w:p>
          <w:p>
            <w:pPr>
              <w:pStyle w:val="10"/>
              <w:spacing w:line="340" w:lineRule="exact"/>
              <w:jc w:val="center"/>
              <w:rPr>
                <w:rFonts w:hAnsi="宋体" w:cs="宋体"/>
                <w:sz w:val="24"/>
                <w:szCs w:val="24"/>
              </w:rPr>
            </w:pPr>
            <w:r>
              <w:rPr>
                <w:rFonts w:hint="eastAsia" w:hAnsi="宋体" w:cs="宋体"/>
                <w:sz w:val="24"/>
                <w:szCs w:val="24"/>
              </w:rPr>
              <w:t>品牌</w:t>
            </w:r>
          </w:p>
        </w:tc>
        <w:tc>
          <w:tcPr>
            <w:tcW w:w="937" w:type="dxa"/>
            <w:vAlign w:val="center"/>
          </w:tcPr>
          <w:p>
            <w:pPr>
              <w:widowControl/>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1</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2</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3</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r>
              <w:rPr>
                <w:rFonts w:hint="eastAsia" w:hAnsi="宋体" w:cs="宋体"/>
                <w:sz w:val="28"/>
                <w:szCs w:val="24"/>
              </w:rPr>
              <w:t>…</w:t>
            </w: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p>
        </w:tc>
        <w:tc>
          <w:tcPr>
            <w:tcW w:w="1561" w:type="dxa"/>
            <w:vAlign w:val="center"/>
          </w:tcPr>
          <w:p>
            <w:pPr>
              <w:pStyle w:val="10"/>
              <w:spacing w:line="340" w:lineRule="exact"/>
              <w:jc w:val="center"/>
              <w:rPr>
                <w:rFonts w:hAnsi="宋体" w:cs="宋体"/>
                <w:sz w:val="28"/>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p>
        </w:tc>
        <w:tc>
          <w:tcPr>
            <w:tcW w:w="1561" w:type="dxa"/>
            <w:vAlign w:val="center"/>
          </w:tcPr>
          <w:p>
            <w:pPr>
              <w:pStyle w:val="10"/>
              <w:spacing w:line="340" w:lineRule="exact"/>
              <w:jc w:val="center"/>
              <w:rPr>
                <w:rFonts w:hAnsi="宋体" w:cs="宋体"/>
                <w:sz w:val="24"/>
                <w:szCs w:val="24"/>
              </w:rPr>
            </w:pPr>
            <w:r>
              <w:rPr>
                <w:rFonts w:hint="eastAsia" w:hAnsi="宋体" w:cs="宋体"/>
                <w:sz w:val="24"/>
                <w:szCs w:val="24"/>
              </w:rPr>
              <w:t>安装调试、培训、售后服务等其他所有费用</w:t>
            </w: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p>
        </w:tc>
        <w:tc>
          <w:tcPr>
            <w:tcW w:w="1561" w:type="dxa"/>
            <w:vAlign w:val="center"/>
          </w:tcPr>
          <w:p>
            <w:pPr>
              <w:pStyle w:val="10"/>
              <w:spacing w:line="340" w:lineRule="exact"/>
              <w:jc w:val="center"/>
              <w:rPr>
                <w:rFonts w:hAnsi="宋体" w:cs="宋体"/>
                <w:sz w:val="24"/>
                <w:szCs w:val="24"/>
              </w:rPr>
            </w:pPr>
          </w:p>
        </w:tc>
        <w:tc>
          <w:tcPr>
            <w:tcW w:w="1443"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780" w:type="dxa"/>
            <w:vAlign w:val="center"/>
          </w:tcPr>
          <w:p>
            <w:pPr>
              <w:pStyle w:val="10"/>
              <w:spacing w:line="340" w:lineRule="exact"/>
              <w:jc w:val="center"/>
              <w:rPr>
                <w:rFonts w:hAnsi="宋体" w:cs="宋体"/>
                <w:sz w:val="28"/>
                <w:szCs w:val="24"/>
              </w:rPr>
            </w:pPr>
          </w:p>
        </w:tc>
        <w:tc>
          <w:tcPr>
            <w:tcW w:w="781" w:type="dxa"/>
            <w:vAlign w:val="center"/>
          </w:tcPr>
          <w:p>
            <w:pPr>
              <w:pStyle w:val="10"/>
              <w:spacing w:line="340" w:lineRule="exact"/>
              <w:jc w:val="center"/>
              <w:rPr>
                <w:rFonts w:hAnsi="宋体" w:cs="宋体"/>
                <w:sz w:val="28"/>
                <w:szCs w:val="24"/>
              </w:rPr>
            </w:pPr>
          </w:p>
        </w:tc>
        <w:tc>
          <w:tcPr>
            <w:tcW w:w="1093" w:type="dxa"/>
            <w:vAlign w:val="center"/>
          </w:tcPr>
          <w:p>
            <w:pPr>
              <w:pStyle w:val="10"/>
              <w:spacing w:line="340" w:lineRule="exact"/>
              <w:jc w:val="center"/>
              <w:rPr>
                <w:rFonts w:hAnsi="宋体" w:cs="宋体"/>
                <w:sz w:val="28"/>
                <w:szCs w:val="24"/>
              </w:rPr>
            </w:pPr>
          </w:p>
        </w:tc>
        <w:tc>
          <w:tcPr>
            <w:tcW w:w="938" w:type="dxa"/>
            <w:vAlign w:val="center"/>
          </w:tcPr>
          <w:p>
            <w:pPr>
              <w:pStyle w:val="10"/>
              <w:spacing w:line="340" w:lineRule="exact"/>
              <w:jc w:val="center"/>
              <w:rPr>
                <w:rFonts w:hAnsi="宋体" w:cs="宋体"/>
                <w:sz w:val="28"/>
                <w:szCs w:val="24"/>
              </w:rPr>
            </w:pPr>
          </w:p>
        </w:tc>
        <w:tc>
          <w:tcPr>
            <w:tcW w:w="937" w:type="dxa"/>
          </w:tcPr>
          <w:p>
            <w:pPr>
              <w:widowControl/>
              <w:jc w:val="lef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588" w:type="dxa"/>
            <w:vAlign w:val="center"/>
          </w:tcPr>
          <w:p>
            <w:pPr>
              <w:pStyle w:val="10"/>
              <w:spacing w:line="340" w:lineRule="exact"/>
              <w:jc w:val="center"/>
              <w:rPr>
                <w:rFonts w:hAnsi="宋体" w:cs="宋体"/>
                <w:sz w:val="28"/>
                <w:szCs w:val="24"/>
              </w:rPr>
            </w:pPr>
          </w:p>
        </w:tc>
        <w:tc>
          <w:tcPr>
            <w:tcW w:w="1561" w:type="dxa"/>
            <w:vAlign w:val="center"/>
          </w:tcPr>
          <w:p>
            <w:pPr>
              <w:pStyle w:val="10"/>
              <w:spacing w:line="340" w:lineRule="exact"/>
              <w:jc w:val="center"/>
              <w:rPr>
                <w:rFonts w:hAnsi="宋体" w:cs="宋体"/>
                <w:sz w:val="24"/>
                <w:szCs w:val="24"/>
              </w:rPr>
            </w:pPr>
            <w:r>
              <w:rPr>
                <w:rFonts w:hint="eastAsia" w:hAnsi="宋体" w:cs="宋体"/>
                <w:sz w:val="24"/>
                <w:szCs w:val="24"/>
              </w:rPr>
              <w:t>合计</w:t>
            </w:r>
          </w:p>
        </w:tc>
        <w:tc>
          <w:tcPr>
            <w:tcW w:w="6753" w:type="dxa"/>
            <w:gridSpan w:val="7"/>
            <w:vAlign w:val="center"/>
          </w:tcPr>
          <w:p>
            <w:pPr>
              <w:spacing w:line="360" w:lineRule="auto"/>
              <w:rPr>
                <w:rFonts w:ascii="宋体" w:hAnsi="宋体" w:cs="宋体"/>
                <w:sz w:val="24"/>
                <w:u w:val="single"/>
              </w:rPr>
            </w:pPr>
            <w:r>
              <w:rPr>
                <w:rFonts w:hint="eastAsia" w:ascii="宋体" w:hAnsi="宋体" w:cs="宋体"/>
                <w:sz w:val="24"/>
              </w:rPr>
              <w:t xml:space="preserve">（小写）¥ </w:t>
            </w:r>
            <w:r>
              <w:rPr>
                <w:rFonts w:hint="eastAsia" w:ascii="宋体" w:hAnsi="宋体" w:cs="宋体"/>
                <w:sz w:val="24"/>
                <w:u w:val="single"/>
              </w:rPr>
              <w:t xml:space="preserve">                                  </w:t>
            </w:r>
          </w:p>
          <w:p>
            <w:pPr>
              <w:widowControl/>
              <w:jc w:val="left"/>
              <w:rPr>
                <w:rFonts w:ascii="宋体" w:hAnsi="宋体" w:cs="宋体"/>
                <w:sz w:val="24"/>
              </w:rPr>
            </w:pPr>
            <w:r>
              <w:rPr>
                <w:rFonts w:hint="eastAsia" w:ascii="宋体" w:hAnsi="宋体" w:cs="宋体"/>
                <w:sz w:val="24"/>
              </w:rPr>
              <w:t>（大写）人民币</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万</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元整</w:t>
            </w:r>
          </w:p>
        </w:tc>
      </w:tr>
    </w:tbl>
    <w:p>
      <w:pPr>
        <w:spacing w:line="520" w:lineRule="exact"/>
        <w:ind w:left="-708" w:leftChars="-337" w:firstLine="480" w:firstLineChars="200"/>
        <w:rPr>
          <w:rFonts w:ascii="宋体" w:hAnsi="宋体" w:cs="宋体"/>
          <w:sz w:val="24"/>
        </w:rPr>
      </w:pPr>
      <w:r>
        <w:rPr>
          <w:rFonts w:hint="eastAsia" w:ascii="宋体" w:hAnsi="宋体" w:cs="宋体"/>
          <w:sz w:val="24"/>
        </w:rPr>
        <w:t xml:space="preserve">供应商: </w:t>
      </w:r>
      <w:r>
        <w:rPr>
          <w:rFonts w:hint="eastAsia" w:ascii="宋体" w:hAnsi="宋体" w:cs="宋体"/>
          <w:sz w:val="24"/>
          <w:u w:val="single"/>
        </w:rPr>
        <w:t xml:space="preserve">     （加盖公章）           </w:t>
      </w:r>
      <w:r>
        <w:rPr>
          <w:rFonts w:hint="eastAsia" w:ascii="宋体" w:hAnsi="宋体" w:cs="宋体"/>
          <w:sz w:val="24"/>
        </w:rPr>
        <w:t xml:space="preserve">  </w:t>
      </w:r>
    </w:p>
    <w:p>
      <w:pPr>
        <w:spacing w:line="520" w:lineRule="exact"/>
        <w:ind w:left="-708" w:leftChars="-337" w:firstLine="480" w:firstLineChars="200"/>
        <w:rPr>
          <w:rFonts w:ascii="宋体" w:hAnsi="宋体" w:cs="宋体"/>
          <w:sz w:val="24"/>
          <w:u w:val="single"/>
        </w:rPr>
      </w:pPr>
      <w:r>
        <w:rPr>
          <w:rFonts w:hint="eastAsia" w:ascii="宋体" w:hAnsi="宋体" w:cs="宋体"/>
          <w:sz w:val="24"/>
        </w:rPr>
        <w:t xml:space="preserve">法定代表人或其委托受托人签字: </w:t>
      </w:r>
      <w:r>
        <w:rPr>
          <w:rFonts w:hint="eastAsia" w:ascii="宋体" w:hAnsi="宋体" w:cs="宋体"/>
          <w:sz w:val="24"/>
          <w:u w:val="single"/>
        </w:rPr>
        <w:t xml:space="preserve">               </w:t>
      </w:r>
    </w:p>
    <w:p>
      <w:pPr>
        <w:spacing w:line="520" w:lineRule="exact"/>
        <w:ind w:left="-708" w:leftChars="-337" w:firstLine="560" w:firstLineChars="200"/>
        <w:rPr>
          <w:rFonts w:hAnsi="宋体" w:cs="宋体"/>
          <w:bCs/>
          <w:sz w:val="28"/>
        </w:rPr>
      </w:pPr>
    </w:p>
    <w:p>
      <w:pPr>
        <w:spacing w:line="520" w:lineRule="exact"/>
        <w:ind w:left="-708" w:leftChars="-337" w:firstLine="480" w:firstLineChars="200"/>
        <w:rPr>
          <w:rFonts w:ascii="宋体" w:hAnsi="宋体" w:cs="宋体"/>
          <w:sz w:val="24"/>
          <w:u w:val="single"/>
        </w:rPr>
      </w:pPr>
      <w:r>
        <w:rPr>
          <w:rFonts w:hint="eastAsia" w:hAnsi="宋体" w:cs="宋体"/>
          <w:bCs/>
          <w:sz w:val="24"/>
        </w:rPr>
        <w:t>注</w:t>
      </w:r>
      <w:r>
        <w:rPr>
          <w:rFonts w:hint="eastAsia" w:hAnsi="宋体" w:cs="宋体"/>
          <w:sz w:val="24"/>
        </w:rPr>
        <w:t>:（1）此表为表样，行数可自行添加，但表式不变。</w:t>
      </w:r>
    </w:p>
    <w:p>
      <w:pPr>
        <w:pStyle w:val="10"/>
        <w:spacing w:line="440" w:lineRule="exact"/>
        <w:ind w:left="-178" w:leftChars="-85" w:firstLine="352" w:firstLineChars="147"/>
        <w:rPr>
          <w:rFonts w:hAnsi="宋体" w:cs="宋体"/>
          <w:sz w:val="24"/>
          <w:szCs w:val="24"/>
        </w:rPr>
      </w:pPr>
      <w:r>
        <w:rPr>
          <w:rFonts w:hint="eastAsia" w:hAnsi="宋体" w:cs="宋体"/>
          <w:sz w:val="24"/>
          <w:szCs w:val="24"/>
        </w:rPr>
        <w:t>（2）上述表中的单价应包括完成第五章中工程所需的各种费用。</w:t>
      </w:r>
    </w:p>
    <w:p>
      <w:pPr>
        <w:pStyle w:val="10"/>
        <w:spacing w:line="440" w:lineRule="exact"/>
        <w:ind w:left="-178" w:leftChars="-85" w:firstLine="352" w:firstLineChars="147"/>
        <w:rPr>
          <w:rFonts w:hAnsi="宋体" w:cs="宋体"/>
          <w:sz w:val="24"/>
          <w:szCs w:val="24"/>
        </w:rPr>
      </w:pPr>
      <w:r>
        <w:rPr>
          <w:rFonts w:hint="eastAsia" w:hAnsi="宋体" w:cs="宋体"/>
          <w:sz w:val="24"/>
          <w:szCs w:val="24"/>
        </w:rPr>
        <w:t>（3）价格应按照磋商文</w:t>
      </w:r>
      <w:r>
        <w:rPr>
          <w:rFonts w:hint="eastAsia" w:hAnsi="宋体" w:cs="宋体"/>
          <w:color w:val="000000"/>
          <w:sz w:val="24"/>
          <w:szCs w:val="24"/>
        </w:rPr>
        <w:t>件第二章第12条的要</w:t>
      </w:r>
      <w:r>
        <w:rPr>
          <w:rFonts w:hint="eastAsia" w:hAnsi="宋体" w:cs="宋体"/>
          <w:sz w:val="24"/>
          <w:szCs w:val="24"/>
        </w:rPr>
        <w:t>求报价。</w:t>
      </w:r>
    </w:p>
    <w:p>
      <w:pPr>
        <w:pStyle w:val="10"/>
        <w:spacing w:line="440" w:lineRule="exact"/>
        <w:ind w:left="-178" w:leftChars="-85" w:firstLine="352" w:firstLineChars="147"/>
        <w:rPr>
          <w:rFonts w:hAnsi="宋体" w:cs="宋体"/>
          <w:sz w:val="24"/>
          <w:szCs w:val="24"/>
        </w:rPr>
      </w:pPr>
    </w:p>
    <w:p/>
    <w:p>
      <w:pPr>
        <w:pStyle w:val="10"/>
        <w:spacing w:line="440" w:lineRule="exact"/>
        <w:jc w:val="center"/>
        <w:rPr>
          <w:rFonts w:hAnsi="宋体" w:cs="宋体"/>
          <w:b/>
          <w:sz w:val="32"/>
        </w:rPr>
      </w:pPr>
    </w:p>
    <w:p>
      <w:pPr>
        <w:pStyle w:val="10"/>
        <w:spacing w:line="440" w:lineRule="exact"/>
        <w:jc w:val="center"/>
        <w:rPr>
          <w:rFonts w:hAnsi="宋体" w:cs="宋体"/>
          <w:b/>
          <w:sz w:val="32"/>
        </w:rPr>
      </w:pPr>
    </w:p>
    <w:p>
      <w:pPr>
        <w:pStyle w:val="10"/>
        <w:spacing w:line="440" w:lineRule="exact"/>
        <w:jc w:val="center"/>
        <w:rPr>
          <w:rFonts w:hAnsi="宋体" w:cs="宋体"/>
          <w:b/>
          <w:sz w:val="32"/>
        </w:rPr>
      </w:pPr>
    </w:p>
    <w:p>
      <w:pPr>
        <w:pStyle w:val="10"/>
        <w:spacing w:line="440" w:lineRule="exact"/>
        <w:jc w:val="center"/>
        <w:rPr>
          <w:rFonts w:hAnsi="宋体" w:cs="宋体"/>
          <w:b/>
          <w:sz w:val="32"/>
        </w:rPr>
      </w:pPr>
    </w:p>
    <w:p>
      <w:pPr>
        <w:pStyle w:val="10"/>
        <w:spacing w:line="440" w:lineRule="exact"/>
        <w:jc w:val="center"/>
        <w:rPr>
          <w:rFonts w:hAnsi="宋体" w:cs="宋体"/>
          <w:b/>
          <w:sz w:val="32"/>
        </w:rPr>
      </w:pPr>
      <w:r>
        <w:rPr>
          <w:rFonts w:hint="eastAsia" w:hAnsi="宋体" w:cs="宋体"/>
          <w:b/>
          <w:sz w:val="32"/>
        </w:rPr>
        <w:t>三、技术要求</w:t>
      </w:r>
      <w:r>
        <w:rPr>
          <w:rFonts w:hint="eastAsia" w:hAnsi="宋体" w:cs="宋体"/>
          <w:b/>
          <w:sz w:val="32"/>
          <w:szCs w:val="32"/>
        </w:rPr>
        <w:t>响应</w:t>
      </w:r>
      <w:r>
        <w:rPr>
          <w:rFonts w:hint="eastAsia" w:hAnsi="宋体" w:cs="宋体"/>
          <w:b/>
          <w:sz w:val="32"/>
        </w:rPr>
        <w:t>偏离表（设备部分）</w:t>
      </w:r>
    </w:p>
    <w:tbl>
      <w:tblPr>
        <w:tblStyle w:val="20"/>
        <w:tblW w:w="8820" w:type="dxa"/>
        <w:jc w:val="center"/>
        <w:tblInd w:w="-35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1083"/>
        <w:gridCol w:w="3237"/>
        <w:gridCol w:w="2346"/>
        <w:gridCol w:w="1080"/>
        <w:gridCol w:w="10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trHeight w:val="7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序号</w:t>
            </w: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项目采购需求中主要技术</w:t>
            </w:r>
          </w:p>
          <w:p>
            <w:pPr>
              <w:jc w:val="center"/>
              <w:rPr>
                <w:rFonts w:ascii="宋体" w:hAnsi="宋体" w:cs="宋体"/>
                <w:sz w:val="24"/>
              </w:rPr>
            </w:pPr>
            <w:r>
              <w:rPr>
                <w:rFonts w:hint="eastAsia" w:ascii="宋体" w:hAnsi="宋体" w:cs="宋体"/>
                <w:sz w:val="24"/>
              </w:rPr>
              <w:t>条款描述</w:t>
            </w: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所投产品规格、型号及相应技术参数描述</w:t>
            </w:r>
          </w:p>
        </w:tc>
        <w:tc>
          <w:tcPr>
            <w:tcW w:w="108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s="宋体"/>
                <w:sz w:val="24"/>
              </w:rPr>
            </w:pPr>
            <w:r>
              <w:rPr>
                <w:rFonts w:hint="eastAsia" w:ascii="宋体" w:hAnsi="宋体" w:cs="宋体"/>
                <w:sz w:val="24"/>
              </w:rPr>
              <w:t>偏离</w:t>
            </w:r>
          </w:p>
          <w:p>
            <w:pPr>
              <w:ind w:firstLine="240" w:firstLineChars="100"/>
              <w:rPr>
                <w:rFonts w:ascii="宋体" w:hAnsi="宋体" w:cs="宋体"/>
                <w:sz w:val="24"/>
              </w:rPr>
            </w:pPr>
            <w:r>
              <w:rPr>
                <w:rFonts w:hint="eastAsia" w:ascii="宋体" w:hAnsi="宋体" w:cs="宋体"/>
                <w:sz w:val="24"/>
              </w:rPr>
              <w:t>情况</w:t>
            </w: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520" w:lineRule="exact"/>
        <w:rPr>
          <w:rFonts w:ascii="宋体" w:hAnsi="宋体" w:cs="宋体"/>
          <w:sz w:val="24"/>
          <w:u w:val="single"/>
        </w:rPr>
      </w:pPr>
      <w:r>
        <w:rPr>
          <w:rFonts w:hint="eastAsia" w:ascii="宋体" w:hAnsi="宋体" w:cs="宋体"/>
          <w:sz w:val="24"/>
        </w:rPr>
        <w:t xml:space="preserve">供应商: </w:t>
      </w:r>
      <w:r>
        <w:rPr>
          <w:rFonts w:hint="eastAsia" w:ascii="宋体" w:hAnsi="宋体" w:cs="宋体"/>
          <w:sz w:val="24"/>
          <w:u w:val="single"/>
        </w:rPr>
        <w:t xml:space="preserve">     （加盖公章）             </w:t>
      </w:r>
    </w:p>
    <w:p>
      <w:pPr>
        <w:spacing w:line="520" w:lineRule="exact"/>
        <w:rPr>
          <w:rFonts w:ascii="宋体" w:hAnsi="宋体" w:cs="宋体"/>
          <w:sz w:val="24"/>
          <w:u w:val="single"/>
        </w:rPr>
      </w:pPr>
      <w:r>
        <w:rPr>
          <w:rFonts w:hint="eastAsia" w:ascii="宋体" w:hAnsi="宋体" w:cs="宋体"/>
          <w:sz w:val="24"/>
        </w:rPr>
        <w:t xml:space="preserve">法定代表人或其委托受托人签字: </w:t>
      </w:r>
      <w:r>
        <w:rPr>
          <w:rFonts w:hint="eastAsia" w:ascii="宋体" w:hAnsi="宋体" w:cs="宋体"/>
          <w:sz w:val="24"/>
          <w:u w:val="single"/>
        </w:rPr>
        <w:t xml:space="preserve">               </w:t>
      </w:r>
    </w:p>
    <w:p>
      <w:pPr>
        <w:spacing w:line="440" w:lineRule="exact"/>
        <w:rPr>
          <w:rFonts w:ascii="宋体" w:hAnsi="宋体" w:cs="宋体"/>
          <w:sz w:val="28"/>
          <w:szCs w:val="28"/>
        </w:rPr>
      </w:pPr>
    </w:p>
    <w:p>
      <w:pPr>
        <w:spacing w:line="440" w:lineRule="exact"/>
        <w:rPr>
          <w:rFonts w:ascii="宋体" w:hAnsi="宋体" w:cs="宋体"/>
          <w:sz w:val="24"/>
        </w:rPr>
      </w:pPr>
      <w:r>
        <w:rPr>
          <w:rFonts w:hint="eastAsia" w:ascii="宋体" w:hAnsi="宋体" w:cs="宋体"/>
          <w:sz w:val="24"/>
        </w:rPr>
        <w:t xml:space="preserve">注:（1）此表为表样，行数可自行添加，但表式不变。 </w:t>
      </w:r>
    </w:p>
    <w:p>
      <w:pPr>
        <w:spacing w:line="440" w:lineRule="exact"/>
        <w:ind w:firstLine="360" w:firstLineChars="150"/>
        <w:rPr>
          <w:rFonts w:ascii="宋体" w:hAnsi="宋体" w:cs="宋体"/>
          <w:sz w:val="24"/>
        </w:rPr>
      </w:pPr>
      <w:r>
        <w:rPr>
          <w:rFonts w:hint="eastAsia" w:ascii="宋体" w:hAnsi="宋体" w:cs="宋体"/>
          <w:sz w:val="24"/>
        </w:rPr>
        <w:t xml:space="preserve">（2）是否偏离用符号“+、=、-”分别表示正偏离、完全响应、负偏离。 </w:t>
      </w:r>
    </w:p>
    <w:p>
      <w:pPr>
        <w:spacing w:line="440" w:lineRule="exact"/>
        <w:ind w:firstLine="360" w:firstLineChars="150"/>
        <w:rPr>
          <w:rFonts w:ascii="宋体" w:hAnsi="宋体" w:cs="宋体"/>
          <w:sz w:val="24"/>
        </w:rPr>
      </w:pPr>
      <w:r>
        <w:rPr>
          <w:rFonts w:hint="eastAsia" w:ascii="宋体" w:hAnsi="宋体" w:cs="宋体"/>
          <w:sz w:val="24"/>
        </w:rPr>
        <w:t>（3）供应商必须仔细阅读本磋商文件第五章设备部分技术条款和相关功能要求，并将响应情况及偏离情况逐项填入上表。</w:t>
      </w: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pStyle w:val="10"/>
        <w:adjustRightInd w:val="0"/>
        <w:snapToGrid w:val="0"/>
        <w:spacing w:before="319" w:beforeLines="100" w:after="159" w:afterLines="50" w:line="360" w:lineRule="auto"/>
        <w:jc w:val="center"/>
        <w:rPr>
          <w:rFonts w:hAnsi="宋体" w:cs="宋体"/>
          <w:b/>
          <w:sz w:val="30"/>
          <w:szCs w:val="30"/>
        </w:rPr>
      </w:pPr>
      <w:r>
        <w:rPr>
          <w:rFonts w:hint="eastAsia" w:hAnsi="宋体" w:cs="宋体"/>
          <w:b/>
          <w:sz w:val="30"/>
          <w:szCs w:val="30"/>
        </w:rPr>
        <w:t>四、服务承诺</w:t>
      </w:r>
    </w:p>
    <w:p>
      <w:pPr>
        <w:pStyle w:val="10"/>
        <w:spacing w:line="400" w:lineRule="exact"/>
        <w:ind w:firstLine="480" w:firstLineChars="200"/>
        <w:jc w:val="center"/>
        <w:rPr>
          <w:rFonts w:hAnsi="宋体" w:cs="宋体"/>
          <w:sz w:val="24"/>
          <w:szCs w:val="24"/>
        </w:rPr>
      </w:pPr>
      <w:r>
        <w:rPr>
          <w:rFonts w:hint="eastAsia" w:hAnsi="宋体" w:cs="宋体"/>
          <w:sz w:val="24"/>
          <w:szCs w:val="24"/>
        </w:rPr>
        <w:t>（格式由供应商自定，加盖供应商公章。）</w:t>
      </w: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pStyle w:val="10"/>
        <w:adjustRightInd w:val="0"/>
        <w:snapToGrid w:val="0"/>
        <w:spacing w:before="159" w:beforeLines="50" w:after="159" w:afterLines="50" w:line="360" w:lineRule="auto"/>
        <w:jc w:val="center"/>
        <w:rPr>
          <w:rFonts w:hAnsi="宋体" w:cs="宋体"/>
          <w:b/>
          <w:sz w:val="30"/>
          <w:szCs w:val="30"/>
        </w:rPr>
      </w:pPr>
    </w:p>
    <w:p>
      <w:pPr>
        <w:pStyle w:val="10"/>
        <w:adjustRightInd w:val="0"/>
        <w:snapToGrid w:val="0"/>
        <w:spacing w:before="159" w:beforeLines="50" w:after="159" w:afterLines="50" w:line="360" w:lineRule="auto"/>
        <w:jc w:val="center"/>
        <w:rPr>
          <w:rFonts w:hAnsi="宋体" w:cs="宋体"/>
          <w:b/>
          <w:sz w:val="30"/>
          <w:szCs w:val="30"/>
        </w:rPr>
      </w:pPr>
      <w:r>
        <w:rPr>
          <w:rFonts w:hint="eastAsia" w:hAnsi="宋体" w:cs="宋体"/>
          <w:b/>
          <w:sz w:val="30"/>
          <w:szCs w:val="30"/>
        </w:rPr>
        <w:t>五、资格审查时供应商必须提交的资格证明文件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1、供应商提供下列材料之一:</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（1）供应商提供法定代表人资格证明（原件、必须提供，格式按照第九部分示范格式一要求）和法定代表人身份证（复印件并加盖供应商公章，原件带至磋商现场核查）；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（2）供应商提供授权委托书（原件、必须提供，格式按照第九部分示范格式二要求）和受托人身份证（复印件并加盖供应商公章，原件带至磋商现场核查）。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w:t>
      </w:r>
      <w:r>
        <w:rPr>
          <w:rFonts w:ascii="宋体" w:hAnsi="宋体" w:cs="宋体"/>
          <w:sz w:val="24"/>
        </w:rPr>
        <w:t>提供营业执照、税务登记证、组织机构代码证或统一信用代码营业执照</w:t>
      </w:r>
      <w:r>
        <w:rPr>
          <w:rFonts w:hint="eastAsia" w:ascii="宋体" w:hAnsi="宋体" w:cs="宋体"/>
          <w:sz w:val="24"/>
        </w:rPr>
        <w:t>（复印件并加盖供应商公章，原件带至现场核查，必须提供）；</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3、提供磋商前六个月内（</w:t>
      </w:r>
      <w:r>
        <w:rPr>
          <w:rFonts w:ascii="宋体" w:hAnsi="宋体" w:cs="宋体"/>
          <w:sz w:val="24"/>
        </w:rPr>
        <w:t>201</w:t>
      </w:r>
      <w:r>
        <w:rPr>
          <w:rFonts w:hint="eastAsia" w:ascii="宋体" w:hAnsi="宋体" w:cs="宋体"/>
          <w:sz w:val="24"/>
        </w:rPr>
        <w:t>9年6月-2019年12月）中任一月份的财务状况报告【至少须包括资产负债表和利润表，法人或者其他组织成立未满三个月的可以不提供】（复印件并加盖供应商公章，必须提供）；</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4、提供磋商前六个月内（</w:t>
      </w:r>
      <w:r>
        <w:rPr>
          <w:rFonts w:ascii="宋体" w:hAnsi="宋体" w:cs="宋体"/>
          <w:sz w:val="24"/>
        </w:rPr>
        <w:t>201</w:t>
      </w:r>
      <w:r>
        <w:rPr>
          <w:rFonts w:hint="eastAsia" w:ascii="宋体" w:hAnsi="宋体" w:cs="宋体"/>
          <w:sz w:val="24"/>
        </w:rPr>
        <w:t>9年6月-2019年12月）中任一月份的依法交纳税收和社会保障资金的相关材料【提供相关主管部门出具的证明或者相关部门网站打印的证明材料，根据国家相关政策免缴或迟缴的需提供相关证明材料】（复印件并加盖供应商公章，必须提供）；</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5、提供</w:t>
      </w:r>
      <w:r>
        <w:rPr>
          <w:rFonts w:ascii="宋体" w:hAnsi="宋体" w:cs="宋体"/>
          <w:sz w:val="24"/>
        </w:rPr>
        <w:t>“</w:t>
      </w:r>
      <w:r>
        <w:rPr>
          <w:rFonts w:hint="eastAsia" w:ascii="宋体" w:hAnsi="宋体" w:cs="宋体"/>
          <w:sz w:val="24"/>
        </w:rPr>
        <w:t>具备履行合同所必需的设备和专业技术能力</w:t>
      </w:r>
      <w:r>
        <w:rPr>
          <w:rFonts w:ascii="宋体" w:hAnsi="宋体" w:cs="宋体"/>
          <w:sz w:val="24"/>
        </w:rPr>
        <w:t>”</w:t>
      </w:r>
      <w:r>
        <w:rPr>
          <w:rFonts w:hint="eastAsia" w:ascii="宋体" w:hAnsi="宋体" w:cs="宋体"/>
          <w:sz w:val="24"/>
        </w:rPr>
        <w:t>的书面承诺（格式自定，加盖供应商公章，必须提供）；</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6、提供“参加政府采购活动前三年内，在经营活动中没有重大违法记录”的书面承诺（原件、必须提供，格式按照第九部分示范格式三要求）；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7、提供供应商符合下列情形的书面承诺</w:t>
      </w:r>
      <w:r>
        <w:rPr>
          <w:rFonts w:ascii="宋体" w:hAnsi="宋体" w:cs="宋体"/>
          <w:sz w:val="24"/>
        </w:rPr>
        <w:t>：</w:t>
      </w:r>
      <w:r>
        <w:rPr>
          <w:rFonts w:hint="eastAsia" w:ascii="宋体" w:hAnsi="宋体" w:cs="宋体"/>
          <w:sz w:val="24"/>
        </w:rPr>
        <w:t>（原件，必须提供，格式按照第九部分示范格式四要求）</w:t>
      </w:r>
    </w:p>
    <w:p>
      <w:pPr>
        <w:adjustRightInd w:val="0"/>
        <w:snapToGrid w:val="0"/>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供应商</w:t>
      </w:r>
      <w:r>
        <w:rPr>
          <w:rFonts w:ascii="宋体" w:hAnsi="宋体" w:cs="宋体"/>
          <w:sz w:val="24"/>
        </w:rPr>
        <w:t>单位负责人为同一人或者存在直接控股、管理关系的不同</w:t>
      </w:r>
      <w:r>
        <w:rPr>
          <w:rFonts w:hint="eastAsia" w:ascii="宋体" w:hAnsi="宋体" w:cs="宋体"/>
          <w:sz w:val="24"/>
        </w:rPr>
        <w:t>供应商</w:t>
      </w:r>
      <w:r>
        <w:rPr>
          <w:rFonts w:ascii="宋体" w:hAnsi="宋体" w:cs="宋体"/>
          <w:sz w:val="24"/>
        </w:rPr>
        <w:t>，</w:t>
      </w:r>
      <w:r>
        <w:rPr>
          <w:rFonts w:hint="eastAsia" w:ascii="宋体" w:hAnsi="宋体" w:cs="宋体"/>
          <w:sz w:val="24"/>
        </w:rPr>
        <w:t xml:space="preserve"> 不得</w:t>
      </w:r>
      <w:r>
        <w:rPr>
          <w:rFonts w:ascii="宋体" w:hAnsi="宋体" w:cs="宋体"/>
          <w:sz w:val="24"/>
        </w:rPr>
        <w:t>同时参加同一合同项下的政府采购活动。</w:t>
      </w:r>
    </w:p>
    <w:p>
      <w:pPr>
        <w:adjustRightInd w:val="0"/>
        <w:snapToGrid w:val="0"/>
        <w:spacing w:line="360" w:lineRule="auto"/>
        <w:ind w:firstLine="480" w:firstLineChars="200"/>
        <w:rPr>
          <w:rFonts w:ascii="宋体" w:hAnsi="宋体" w:cs="宋体"/>
          <w:sz w:val="24"/>
        </w:rPr>
      </w:pPr>
      <w:r>
        <w:rPr>
          <w:rFonts w:ascii="宋体" w:hAnsi="宋体" w:cs="宋体"/>
          <w:sz w:val="24"/>
        </w:rPr>
        <w:t>（2）凡为采购项目提供整体设计、规范编制或者项目管理、监理、检测等服务的</w:t>
      </w:r>
      <w:r>
        <w:rPr>
          <w:rFonts w:hint="eastAsia" w:ascii="宋体" w:hAnsi="宋体" w:cs="宋体"/>
          <w:sz w:val="24"/>
        </w:rPr>
        <w:t>供应商</w:t>
      </w:r>
      <w:r>
        <w:rPr>
          <w:rFonts w:ascii="宋体" w:hAnsi="宋体" w:cs="宋体"/>
          <w:sz w:val="24"/>
        </w:rPr>
        <w:t>，</w:t>
      </w:r>
      <w:r>
        <w:rPr>
          <w:rFonts w:hint="eastAsia" w:ascii="宋体" w:hAnsi="宋体" w:cs="宋体"/>
          <w:sz w:val="24"/>
        </w:rPr>
        <w:t>不得</w:t>
      </w:r>
      <w:r>
        <w:rPr>
          <w:rFonts w:ascii="宋体" w:hAnsi="宋体" w:cs="宋体"/>
          <w:sz w:val="24"/>
        </w:rPr>
        <w:t>再参加本项目的采购活动。</w:t>
      </w:r>
    </w:p>
    <w:p>
      <w:pPr>
        <w:keepNext w:val="0"/>
        <w:keepLines w:val="0"/>
        <w:pageBreakBefore w:val="0"/>
        <w:widowControl w:val="0"/>
        <w:kinsoku/>
        <w:wordWrap/>
        <w:overflowPunct/>
        <w:topLinePunct w:val="0"/>
        <w:autoSpaceDE/>
        <w:autoSpaceDN/>
        <w:bidi w:val="0"/>
        <w:adjustRightInd w:val="0"/>
        <w:snapToGrid w:val="0"/>
        <w:spacing w:line="336" w:lineRule="auto"/>
        <w:ind w:left="0" w:firstLine="482" w:firstLineChars="200"/>
        <w:textAlignment w:val="auto"/>
        <w:rPr>
          <w:rFonts w:ascii="宋体" w:hAnsi="宋体" w:cs="宋体"/>
          <w:b/>
          <w:sz w:val="24"/>
        </w:rPr>
      </w:pPr>
      <w:r>
        <w:rPr>
          <w:rFonts w:hint="eastAsia" w:ascii="宋体" w:hAnsi="宋体" w:cs="宋体"/>
          <w:b/>
          <w:sz w:val="24"/>
        </w:rPr>
        <w:t>注：（1）上述是磋商小组对供应商资格审查时，供应商所必须要提供的资格证明文件，如供应商未能提供上述资格审查文件中的任何一件（全部材料）以及供应商资格条件不符合磋商文件要求的将取消其继续参加磋商的资格。</w:t>
      </w:r>
    </w:p>
    <w:p>
      <w:pPr>
        <w:keepNext w:val="0"/>
        <w:keepLines w:val="0"/>
        <w:pageBreakBefore w:val="0"/>
        <w:widowControl w:val="0"/>
        <w:kinsoku/>
        <w:wordWrap/>
        <w:overflowPunct/>
        <w:topLinePunct w:val="0"/>
        <w:autoSpaceDE/>
        <w:autoSpaceDN/>
        <w:bidi w:val="0"/>
        <w:adjustRightInd w:val="0"/>
        <w:snapToGrid w:val="0"/>
        <w:spacing w:line="336" w:lineRule="auto"/>
        <w:ind w:left="0" w:firstLine="236" w:firstLineChars="98"/>
        <w:textAlignment w:val="auto"/>
        <w:rPr>
          <w:rFonts w:ascii="宋体" w:hAnsi="宋体" w:cs="宋体"/>
          <w:b/>
          <w:sz w:val="24"/>
        </w:rPr>
      </w:pPr>
      <w:r>
        <w:rPr>
          <w:rFonts w:hint="eastAsia" w:ascii="宋体" w:hAnsi="宋体" w:cs="宋体"/>
          <w:b/>
          <w:sz w:val="24"/>
        </w:rPr>
        <w:t>（2）</w:t>
      </w:r>
      <w:r>
        <w:rPr>
          <w:rFonts w:hint="eastAsia" w:ascii="宋体" w:hAnsi="宋体" w:cs="宋体"/>
          <w:b/>
          <w:bCs/>
          <w:sz w:val="24"/>
        </w:rPr>
        <w:t>供应商所提供的资格证明材料应真实、有效，采购人保留对供应商提供的资格证明材料进行核查的权利。如发现供应商提供虚假资格证明材料，</w:t>
      </w:r>
      <w:r>
        <w:rPr>
          <w:rFonts w:hint="eastAsia" w:ascii="宋体" w:hAnsi="宋体" w:cs="宋体"/>
          <w:b/>
          <w:sz w:val="24"/>
          <w:lang w:val="zh-CN"/>
        </w:rPr>
        <w:t>采购人</w:t>
      </w:r>
      <w:r>
        <w:rPr>
          <w:rFonts w:hint="eastAsia" w:ascii="宋体" w:hAnsi="宋体" w:cs="宋体"/>
          <w:b/>
          <w:bCs/>
          <w:sz w:val="24"/>
        </w:rPr>
        <w:t>将按规定对其进行严肃处理。</w:t>
      </w:r>
    </w:p>
    <w:p>
      <w:pPr>
        <w:pStyle w:val="10"/>
        <w:adjustRightInd w:val="0"/>
        <w:snapToGrid w:val="0"/>
        <w:spacing w:before="159" w:beforeLines="50" w:after="159" w:afterLines="50" w:line="360" w:lineRule="auto"/>
        <w:jc w:val="center"/>
        <w:rPr>
          <w:rFonts w:hAnsi="宋体" w:cs="宋体"/>
          <w:b/>
          <w:sz w:val="30"/>
          <w:szCs w:val="30"/>
        </w:rPr>
      </w:pPr>
      <w:r>
        <w:rPr>
          <w:rFonts w:hint="eastAsia" w:hAnsi="宋体" w:cs="宋体"/>
          <w:b/>
          <w:sz w:val="30"/>
          <w:szCs w:val="30"/>
        </w:rPr>
        <w:t>六、涉及无效响应文件条款中供应商必须提供的证明文件</w:t>
      </w:r>
    </w:p>
    <w:p>
      <w:pPr>
        <w:spacing w:line="400" w:lineRule="exact"/>
        <w:jc w:val="center"/>
        <w:rPr>
          <w:rFonts w:hint="eastAsia" w:ascii="宋体" w:hAnsi="宋体" w:eastAsia="宋体" w:cs="宋体"/>
          <w:b/>
          <w:bCs/>
          <w:sz w:val="30"/>
          <w:szCs w:val="30"/>
          <w:highlight w:val="none"/>
          <w:lang w:eastAsia="zh-CN"/>
        </w:rPr>
      </w:pPr>
      <w:r>
        <w:rPr>
          <w:rFonts w:hint="eastAsia" w:ascii="宋体" w:hAnsi="宋体" w:cs="宋体"/>
          <w:sz w:val="24"/>
          <w:highlight w:val="none"/>
          <w:lang w:eastAsia="zh-CN"/>
        </w:rPr>
        <w:t>（本项目无）</w:t>
      </w: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p>
    <w:p>
      <w:pPr>
        <w:pStyle w:val="10"/>
        <w:adjustRightInd w:val="0"/>
        <w:snapToGrid w:val="0"/>
        <w:spacing w:before="159" w:beforeLines="50" w:after="159" w:afterLines="50" w:line="360" w:lineRule="auto"/>
        <w:jc w:val="center"/>
        <w:rPr>
          <w:rFonts w:hAnsi="宋体" w:cs="宋体"/>
          <w:b/>
          <w:sz w:val="30"/>
          <w:szCs w:val="30"/>
        </w:rPr>
      </w:pPr>
    </w:p>
    <w:p>
      <w:pPr>
        <w:pStyle w:val="10"/>
        <w:adjustRightInd w:val="0"/>
        <w:snapToGrid w:val="0"/>
        <w:spacing w:before="159" w:beforeLines="50" w:after="159" w:afterLines="50" w:line="360" w:lineRule="auto"/>
        <w:jc w:val="center"/>
        <w:rPr>
          <w:rFonts w:hAnsi="宋体" w:cs="宋体"/>
          <w:b/>
          <w:sz w:val="30"/>
          <w:szCs w:val="30"/>
        </w:rPr>
      </w:pPr>
    </w:p>
    <w:p>
      <w:pPr>
        <w:pStyle w:val="10"/>
        <w:adjustRightInd w:val="0"/>
        <w:snapToGrid w:val="0"/>
        <w:spacing w:before="159" w:beforeLines="50" w:after="159" w:afterLines="50" w:line="360" w:lineRule="auto"/>
        <w:jc w:val="center"/>
        <w:rPr>
          <w:rFonts w:hint="eastAsia" w:hAnsi="宋体" w:cs="宋体"/>
          <w:b/>
          <w:sz w:val="30"/>
          <w:szCs w:val="30"/>
        </w:rPr>
      </w:pPr>
    </w:p>
    <w:p>
      <w:pPr>
        <w:pStyle w:val="10"/>
        <w:adjustRightInd w:val="0"/>
        <w:snapToGrid w:val="0"/>
        <w:spacing w:before="159" w:beforeLines="50" w:after="159" w:afterLines="50" w:line="360" w:lineRule="auto"/>
        <w:jc w:val="center"/>
        <w:rPr>
          <w:rFonts w:hAnsi="宋体" w:cs="宋体"/>
          <w:b/>
          <w:sz w:val="30"/>
          <w:szCs w:val="30"/>
        </w:rPr>
      </w:pPr>
      <w:r>
        <w:rPr>
          <w:rFonts w:hint="eastAsia" w:hAnsi="宋体" w:cs="宋体"/>
          <w:b/>
          <w:sz w:val="30"/>
          <w:szCs w:val="30"/>
        </w:rPr>
        <w:t>七、综合评分时供应商需提供的证明文件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1、供应商根据评审标准“2、项目实施方案”中的要求提供方案。（格式由供应商自定，加盖供应商公章）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2、供应商根据评审标准“3、履约能力、售后服务等”中的要求提供:</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（1）有效期内ISO9001质量管理体系认证证书、ISO14001环境管理体系认证证书；（复印件并加盖供应商公章，原件备查）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（2）供应商自2016年以来（以合同签署日期为准）承接过实验室建设项目业绩的合同。（复印件加盖供应商公章，原件备查）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w:t>
      </w:r>
      <w:r>
        <w:rPr>
          <w:rFonts w:hint="eastAsia"/>
          <w:sz w:val="24"/>
          <w:lang w:val="zh-CN"/>
        </w:rPr>
        <w:t>针对提供的货物等出现故障时，供应商在接到通知后维修人员到达现场维修的时间承诺。</w:t>
      </w:r>
      <w:r>
        <w:rPr>
          <w:rFonts w:hint="eastAsia" w:ascii="宋体" w:hAnsi="宋体" w:cs="宋体"/>
          <w:sz w:val="24"/>
        </w:rPr>
        <w:t>（格式由供应商自定，加盖供应商公章）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（4）供应商免费质保期限的承诺。（格式由供应商自定，加盖供应商公章）</w:t>
      </w: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24"/>
        <w:ind w:firstLine="0" w:firstLineChars="0"/>
        <w:jc w:val="center"/>
        <w:rPr>
          <w:rFonts w:ascii="宋体" w:hAnsi="宋体" w:eastAsia="宋体" w:cs="宋体"/>
          <w:b/>
          <w:bCs/>
          <w:sz w:val="30"/>
          <w:szCs w:val="30"/>
        </w:rPr>
      </w:pPr>
    </w:p>
    <w:p>
      <w:pPr>
        <w:pStyle w:val="10"/>
        <w:adjustRightInd w:val="0"/>
        <w:snapToGrid w:val="0"/>
        <w:spacing w:before="159" w:beforeLines="50" w:after="159" w:afterLines="50" w:line="360" w:lineRule="auto"/>
        <w:jc w:val="center"/>
        <w:rPr>
          <w:rFonts w:hAnsi="宋体" w:cs="宋体"/>
          <w:b/>
          <w:sz w:val="30"/>
          <w:szCs w:val="30"/>
        </w:rPr>
      </w:pPr>
    </w:p>
    <w:p>
      <w:pPr>
        <w:pStyle w:val="10"/>
        <w:adjustRightInd w:val="0"/>
        <w:snapToGrid w:val="0"/>
        <w:spacing w:before="159" w:beforeLines="50" w:after="159" w:afterLines="50" w:line="360" w:lineRule="auto"/>
        <w:jc w:val="center"/>
        <w:rPr>
          <w:rFonts w:hAnsi="宋体" w:cs="宋体"/>
          <w:b/>
          <w:sz w:val="30"/>
          <w:szCs w:val="30"/>
        </w:rPr>
      </w:pPr>
      <w:r>
        <w:rPr>
          <w:rFonts w:hint="eastAsia" w:hAnsi="宋体" w:cs="宋体"/>
          <w:b/>
          <w:sz w:val="30"/>
          <w:szCs w:val="30"/>
        </w:rPr>
        <w:t>八、供应商认为有必要提供并说明的其它资料</w:t>
      </w:r>
    </w:p>
    <w:p>
      <w:pPr>
        <w:widowControl/>
        <w:spacing w:line="400" w:lineRule="exact"/>
        <w:jc w:val="center"/>
        <w:rPr>
          <w:rFonts w:ascii="宋体" w:hAnsi="宋体" w:cs="宋体"/>
          <w:b/>
          <w:sz w:val="24"/>
        </w:rPr>
      </w:pPr>
      <w:r>
        <w:rPr>
          <w:rFonts w:hint="eastAsia" w:ascii="宋体" w:hAnsi="宋体" w:cs="宋体"/>
          <w:b/>
          <w:sz w:val="24"/>
        </w:rPr>
        <w:t>（格式由供应商自定、加盖供应商公章）</w:t>
      </w:r>
    </w:p>
    <w:p>
      <w:pPr>
        <w:pStyle w:val="10"/>
        <w:spacing w:line="336" w:lineRule="auto"/>
        <w:jc w:val="center"/>
        <w:rPr>
          <w:rFonts w:hAnsi="宋体" w:cs="宋体"/>
          <w:b/>
          <w:sz w:val="30"/>
          <w:szCs w:val="30"/>
        </w:rPr>
      </w:pPr>
    </w:p>
    <w:p>
      <w:pPr>
        <w:widowControl/>
        <w:jc w:val="left"/>
        <w:rPr>
          <w:rFonts w:ascii="宋体" w:hAnsi="宋体" w:cs="宋体"/>
          <w:b/>
          <w:sz w:val="30"/>
          <w:szCs w:val="30"/>
        </w:rPr>
      </w:pPr>
      <w:r>
        <w:rPr>
          <w:rFonts w:hAnsi="宋体" w:cs="宋体"/>
          <w:b/>
          <w:sz w:val="30"/>
          <w:szCs w:val="30"/>
        </w:rPr>
        <w:br w:type="page"/>
      </w:r>
    </w:p>
    <w:p>
      <w:pPr>
        <w:pStyle w:val="10"/>
        <w:adjustRightInd w:val="0"/>
        <w:snapToGrid w:val="0"/>
        <w:spacing w:before="159" w:beforeLines="50" w:after="159" w:afterLines="50" w:line="360" w:lineRule="auto"/>
        <w:jc w:val="center"/>
        <w:rPr>
          <w:rFonts w:hAnsi="宋体" w:cs="宋体"/>
          <w:b/>
          <w:sz w:val="30"/>
          <w:szCs w:val="30"/>
        </w:rPr>
      </w:pPr>
      <w:r>
        <w:rPr>
          <w:rFonts w:hint="eastAsia" w:hAnsi="宋体" w:cs="宋体"/>
          <w:b/>
          <w:sz w:val="30"/>
          <w:szCs w:val="30"/>
        </w:rPr>
        <w:t>九、示范格式</w:t>
      </w:r>
    </w:p>
    <w:p>
      <w:pPr>
        <w:pStyle w:val="10"/>
        <w:spacing w:line="336" w:lineRule="auto"/>
        <w:rPr>
          <w:rFonts w:hAnsi="宋体" w:cs="宋体"/>
          <w:b/>
          <w:sz w:val="30"/>
          <w:szCs w:val="30"/>
        </w:rPr>
      </w:pPr>
      <w:r>
        <w:rPr>
          <w:rFonts w:hint="eastAsia" w:hAnsi="宋体" w:cs="宋体"/>
          <w:b/>
          <w:sz w:val="30"/>
          <w:szCs w:val="30"/>
        </w:rPr>
        <w:t>示范格式一：</w:t>
      </w:r>
    </w:p>
    <w:p>
      <w:pPr>
        <w:pStyle w:val="10"/>
        <w:spacing w:line="336" w:lineRule="auto"/>
        <w:jc w:val="center"/>
        <w:rPr>
          <w:rFonts w:hAnsi="宋体" w:cs="宋体"/>
          <w:b/>
          <w:sz w:val="30"/>
          <w:szCs w:val="30"/>
        </w:rPr>
      </w:pPr>
      <w:r>
        <w:rPr>
          <w:rFonts w:hint="eastAsia" w:hAnsi="宋体" w:cs="宋体"/>
          <w:b/>
          <w:sz w:val="30"/>
          <w:szCs w:val="30"/>
        </w:rPr>
        <w:t>法定代表人资格证明</w:t>
      </w:r>
    </w:p>
    <w:p>
      <w:pPr>
        <w:spacing w:line="440" w:lineRule="exact"/>
        <w:ind w:firstLine="420" w:firstLineChars="200"/>
        <w:rPr>
          <w:rFonts w:ascii="宋体" w:hAnsi="宋体" w:cs="宋体"/>
          <w:szCs w:val="21"/>
        </w:rPr>
      </w:pPr>
    </w:p>
    <w:p>
      <w:pPr>
        <w:autoSpaceDE w:val="0"/>
        <w:autoSpaceDN w:val="0"/>
        <w:adjustRightInd w:val="0"/>
        <w:spacing w:line="300" w:lineRule="auto"/>
        <w:ind w:firstLine="280"/>
        <w:rPr>
          <w:rFonts w:ascii="宋体" w:hAnsi="宋体" w:cs="宋体"/>
          <w:sz w:val="24"/>
          <w:lang w:val="zh-CN"/>
        </w:rPr>
      </w:pPr>
      <w:r>
        <w:rPr>
          <w:rFonts w:hint="eastAsia" w:ascii="宋体" w:hAnsi="宋体" w:cs="宋体"/>
          <w:sz w:val="24"/>
          <w:lang w:val="zh-CN"/>
        </w:rPr>
        <w:t>单位名称：</w:t>
      </w:r>
    </w:p>
    <w:p>
      <w:pPr>
        <w:autoSpaceDE w:val="0"/>
        <w:autoSpaceDN w:val="0"/>
        <w:adjustRightInd w:val="0"/>
        <w:spacing w:line="300" w:lineRule="auto"/>
        <w:ind w:firstLine="280"/>
        <w:rPr>
          <w:rFonts w:ascii="宋体" w:hAnsi="宋体" w:cs="宋体"/>
          <w:sz w:val="24"/>
          <w:lang w:val="zh-CN"/>
        </w:rPr>
      </w:pPr>
      <w:r>
        <w:rPr>
          <w:rFonts w:hint="eastAsia" w:ascii="宋体" w:hAnsi="宋体" w:cs="宋体"/>
          <w:sz w:val="24"/>
          <w:lang w:val="zh-CN"/>
        </w:rPr>
        <w:t>地址：</w:t>
      </w:r>
    </w:p>
    <w:p>
      <w:pPr>
        <w:autoSpaceDE w:val="0"/>
        <w:autoSpaceDN w:val="0"/>
        <w:adjustRightInd w:val="0"/>
        <w:spacing w:line="300" w:lineRule="auto"/>
        <w:ind w:firstLine="280"/>
        <w:rPr>
          <w:rFonts w:ascii="宋体" w:hAnsi="宋体" w:cs="宋体"/>
          <w:sz w:val="24"/>
          <w:lang w:val="zh-CN"/>
        </w:rPr>
      </w:pPr>
      <w:r>
        <w:rPr>
          <w:rFonts w:hint="eastAsia" w:ascii="宋体" w:hAnsi="宋体" w:cs="宋体"/>
          <w:sz w:val="24"/>
          <w:lang w:val="zh-CN"/>
        </w:rPr>
        <w:t>姓名：       性别：         年龄：        职务：</w:t>
      </w:r>
    </w:p>
    <w:p>
      <w:pPr>
        <w:spacing w:line="600" w:lineRule="exact"/>
        <w:ind w:firstLine="480" w:firstLineChars="200"/>
        <w:rPr>
          <w:rFonts w:ascii="宋体" w:hAnsi="宋体" w:cs="宋体"/>
          <w:sz w:val="24"/>
        </w:rPr>
      </w:pPr>
      <w:r>
        <w:rPr>
          <w:rFonts w:hint="eastAsia" w:ascii="宋体" w:hAnsi="宋体" w:cs="宋体"/>
          <w:sz w:val="24"/>
          <w:lang w:val="zh-CN"/>
        </w:rPr>
        <w:t>系</w:t>
      </w:r>
      <w:r>
        <w:rPr>
          <w:rFonts w:hint="eastAsia" w:ascii="宋体" w:hAnsi="宋体" w:cs="宋体"/>
          <w:sz w:val="24"/>
          <w:u w:val="single"/>
          <w:lang w:val="zh-CN"/>
        </w:rPr>
        <w:t xml:space="preserve">      （供应商名称）   </w:t>
      </w:r>
      <w:r>
        <w:rPr>
          <w:rFonts w:hint="eastAsia" w:ascii="宋体" w:hAnsi="宋体" w:cs="宋体"/>
          <w:sz w:val="24"/>
          <w:lang w:val="zh-CN"/>
        </w:rPr>
        <w:t>的法定代表人。</w:t>
      </w:r>
      <w:r>
        <w:rPr>
          <w:rFonts w:hint="eastAsia" w:ascii="宋体" w:hAnsi="宋体" w:cs="宋体"/>
          <w:sz w:val="24"/>
        </w:rPr>
        <w:t>为参与项目，签署上述项目的响应文件、进行磋商、签署合同和处理与之有关的一切事务。</w:t>
      </w:r>
    </w:p>
    <w:p>
      <w:pPr>
        <w:autoSpaceDE w:val="0"/>
        <w:autoSpaceDN w:val="0"/>
        <w:adjustRightInd w:val="0"/>
        <w:spacing w:line="300" w:lineRule="auto"/>
        <w:rPr>
          <w:rFonts w:ascii="宋体" w:hAnsi="宋体" w:cs="宋体"/>
          <w:sz w:val="24"/>
          <w:lang w:val="zh-CN"/>
        </w:rPr>
      </w:pPr>
    </w:p>
    <w:p>
      <w:pPr>
        <w:autoSpaceDE w:val="0"/>
        <w:autoSpaceDN w:val="0"/>
        <w:adjustRightInd w:val="0"/>
        <w:spacing w:line="300" w:lineRule="auto"/>
        <w:ind w:firstLine="280"/>
        <w:rPr>
          <w:rFonts w:ascii="宋体" w:hAnsi="宋体" w:cs="宋体"/>
          <w:sz w:val="24"/>
          <w:lang w:val="zh-CN"/>
        </w:rPr>
      </w:pPr>
      <w:r>
        <w:rPr>
          <w:rFonts w:hint="eastAsia" w:ascii="宋体" w:hAnsi="宋体" w:cs="宋体"/>
          <w:sz w:val="24"/>
          <w:lang w:val="zh-CN"/>
        </w:rPr>
        <w:t>特此证明。</w:t>
      </w:r>
    </w:p>
    <w:p>
      <w:pPr>
        <w:spacing w:line="440" w:lineRule="exact"/>
        <w:ind w:firstLine="4800" w:firstLineChars="2000"/>
        <w:rPr>
          <w:rFonts w:ascii="宋体" w:hAnsi="宋体" w:cs="宋体"/>
          <w:sz w:val="24"/>
        </w:rPr>
      </w:pPr>
    </w:p>
    <w:p>
      <w:pPr>
        <w:spacing w:line="520" w:lineRule="exact"/>
        <w:ind w:firstLine="6600" w:firstLineChars="2750"/>
        <w:rPr>
          <w:rFonts w:ascii="宋体" w:hAnsi="宋体" w:cs="宋体"/>
          <w:sz w:val="24"/>
        </w:rPr>
      </w:pPr>
      <w:r>
        <w:rPr>
          <w:rFonts w:hint="eastAsia" w:ascii="宋体" w:hAnsi="宋体" w:cs="宋体"/>
          <w:sz w:val="24"/>
        </w:rPr>
        <w:t>供应商：</w:t>
      </w:r>
      <w:r>
        <w:rPr>
          <w:rFonts w:hint="eastAsia" w:ascii="宋体" w:hAnsi="宋体" w:cs="宋体"/>
          <w:sz w:val="24"/>
          <w:u w:val="single"/>
        </w:rPr>
        <w:t xml:space="preserve">    （盖公章）  </w:t>
      </w:r>
    </w:p>
    <w:p>
      <w:pPr>
        <w:snapToGrid w:val="0"/>
        <w:spacing w:line="360" w:lineRule="auto"/>
        <w:ind w:firstLine="4440" w:firstLineChars="1850"/>
        <w:rPr>
          <w:rFonts w:ascii="宋体" w:hAnsi="宋体" w:cs="宋体"/>
          <w:sz w:val="24"/>
          <w:u w:val="single"/>
        </w:rPr>
      </w:pPr>
    </w:p>
    <w:p>
      <w:pPr>
        <w:snapToGrid w:val="0"/>
        <w:spacing w:line="360" w:lineRule="auto"/>
        <w:ind w:firstLine="7320" w:firstLineChars="3050"/>
        <w:rPr>
          <w:rFonts w:ascii="宋体" w:hAnsi="宋体" w:cs="宋体"/>
          <w:sz w:val="24"/>
        </w:rPr>
      </w:pPr>
      <w:r>
        <w:rPr>
          <w:rFonts w:hint="eastAsia" w:ascii="宋体" w:hAnsi="宋体" w:cs="宋体"/>
          <w:sz w:val="24"/>
        </w:rPr>
        <w:t>年    月    日</w:t>
      </w:r>
    </w:p>
    <w:p>
      <w:pPr>
        <w:snapToGrid w:val="0"/>
        <w:spacing w:line="440" w:lineRule="exact"/>
        <w:ind w:firstLine="520" w:firstLineChars="216"/>
        <w:rPr>
          <w:rFonts w:ascii="宋体" w:hAnsi="宋体" w:cs="宋体"/>
          <w:b/>
          <w:bCs/>
          <w:sz w:val="24"/>
        </w:rPr>
      </w:pPr>
      <w:r>
        <w:rPr>
          <w:rFonts w:hint="eastAsia" w:ascii="宋体" w:hAnsi="宋体" w:cs="宋体"/>
          <w:b/>
          <w:bCs/>
          <w:sz w:val="24"/>
        </w:rPr>
        <w:t>注:供应商法定代表人参加磋商的，必须附法定代表人身份证复印件并加盖委托单位公章，参加磋商时法定代表人将身份证原件带至磋商现场备查。</w:t>
      </w:r>
      <w:r>
        <w:rPr>
          <w:rFonts w:hint="eastAsia" w:ascii="宋体" w:hAnsi="宋体" w:cs="宋体"/>
          <w:b/>
          <w:sz w:val="24"/>
        </w:rPr>
        <w:t>法定代表人授权其他人参加磋商的，仅需填写“授权委托书”。</w:t>
      </w:r>
    </w:p>
    <w:p>
      <w:pPr>
        <w:widowControl/>
        <w:jc w:val="left"/>
        <w:rPr>
          <w:rFonts w:ascii="宋体" w:hAnsi="宋体" w:cs="宋体"/>
          <w:b/>
          <w:sz w:val="24"/>
        </w:rPr>
      </w:pPr>
      <w:r>
        <w:rPr>
          <w:rFonts w:hAnsi="宋体" w:cs="宋体"/>
          <w:b/>
          <w:sz w:val="24"/>
        </w:rPr>
        <w:br w:type="page"/>
      </w:r>
    </w:p>
    <w:p>
      <w:pPr>
        <w:pStyle w:val="10"/>
        <w:spacing w:line="336" w:lineRule="auto"/>
        <w:rPr>
          <w:rFonts w:hAnsi="宋体" w:cs="宋体"/>
          <w:b/>
          <w:sz w:val="30"/>
          <w:szCs w:val="30"/>
        </w:rPr>
      </w:pPr>
      <w:r>
        <w:rPr>
          <w:rFonts w:hint="eastAsia" w:hAnsi="宋体" w:cs="宋体"/>
          <w:b/>
          <w:sz w:val="30"/>
          <w:szCs w:val="30"/>
        </w:rPr>
        <w:t>示范格式二：</w:t>
      </w:r>
    </w:p>
    <w:p>
      <w:pPr>
        <w:pStyle w:val="10"/>
        <w:spacing w:line="336" w:lineRule="auto"/>
        <w:jc w:val="center"/>
        <w:rPr>
          <w:rFonts w:hAnsi="宋体" w:cs="宋体"/>
          <w:b/>
          <w:szCs w:val="21"/>
        </w:rPr>
      </w:pPr>
      <w:r>
        <w:rPr>
          <w:rFonts w:hint="eastAsia" w:hAnsi="宋体" w:cs="宋体"/>
          <w:b/>
          <w:sz w:val="30"/>
          <w:szCs w:val="30"/>
        </w:rPr>
        <w:t>授权委托书</w:t>
      </w:r>
    </w:p>
    <w:p>
      <w:pPr>
        <w:spacing w:line="440" w:lineRule="exact"/>
        <w:rPr>
          <w:rFonts w:ascii="宋体" w:hAnsi="宋体" w:cs="宋体"/>
          <w:b/>
          <w:bCs/>
          <w:szCs w:val="21"/>
        </w:rPr>
      </w:pPr>
    </w:p>
    <w:p>
      <w:pPr>
        <w:spacing w:line="440" w:lineRule="exact"/>
        <w:rPr>
          <w:rFonts w:ascii="宋体" w:hAnsi="宋体" w:cs="宋体"/>
          <w:sz w:val="24"/>
        </w:rPr>
      </w:pPr>
      <w:r>
        <w:rPr>
          <w:rFonts w:hint="eastAsia" w:ascii="宋体" w:hAnsi="宋体" w:cs="宋体"/>
          <w:b/>
          <w:bCs/>
          <w:sz w:val="24"/>
        </w:rPr>
        <w:t>致：淮阴师范学院</w:t>
      </w:r>
    </w:p>
    <w:p>
      <w:pPr>
        <w:spacing w:line="520" w:lineRule="exact"/>
        <w:rPr>
          <w:rFonts w:ascii="宋体" w:hAnsi="宋体" w:cs="宋体"/>
          <w:sz w:val="24"/>
        </w:rPr>
      </w:pPr>
      <w:r>
        <w:rPr>
          <w:rFonts w:hint="eastAsia" w:ascii="宋体" w:hAnsi="宋体" w:cs="宋体"/>
          <w:sz w:val="24"/>
        </w:rPr>
        <w:t xml:space="preserve">本授权书宣告： </w:t>
      </w:r>
    </w:p>
    <w:p>
      <w:pPr>
        <w:snapToGrid w:val="0"/>
        <w:spacing w:line="520" w:lineRule="exact"/>
        <w:rPr>
          <w:rFonts w:ascii="宋体" w:hAnsi="宋体" w:cs="宋体"/>
          <w:sz w:val="24"/>
        </w:rPr>
      </w:pPr>
      <w:r>
        <w:rPr>
          <w:rFonts w:hint="eastAsia" w:ascii="宋体" w:hAnsi="宋体" w:cs="宋体"/>
          <w:sz w:val="24"/>
        </w:rPr>
        <w:t>委托方：</w:t>
      </w:r>
      <w:r>
        <w:rPr>
          <w:rFonts w:hint="eastAsia" w:ascii="宋体" w:hAnsi="宋体" w:cs="宋体"/>
          <w:sz w:val="24"/>
          <w:u w:val="single"/>
        </w:rPr>
        <w:t xml:space="preserve">                   </w:t>
      </w:r>
      <w:r>
        <w:rPr>
          <w:rFonts w:hint="eastAsia" w:ascii="宋体" w:hAnsi="宋体" w:cs="宋体"/>
          <w:sz w:val="24"/>
        </w:rPr>
        <w:t>地址：</w:t>
      </w:r>
      <w:r>
        <w:rPr>
          <w:rFonts w:hint="eastAsia" w:ascii="宋体" w:hAnsi="宋体" w:cs="宋体"/>
          <w:sz w:val="24"/>
          <w:u w:val="single"/>
        </w:rPr>
        <w:t xml:space="preserve">                </w:t>
      </w:r>
    </w:p>
    <w:p>
      <w:pPr>
        <w:snapToGrid w:val="0"/>
        <w:spacing w:line="520" w:lineRule="exact"/>
        <w:rPr>
          <w:rFonts w:ascii="宋体" w:hAnsi="宋体" w:cs="宋体"/>
          <w:sz w:val="24"/>
          <w:u w:val="single"/>
        </w:rPr>
      </w:pPr>
      <w:r>
        <w:rPr>
          <w:rFonts w:hint="eastAsia" w:ascii="宋体" w:hAnsi="宋体" w:cs="宋体"/>
          <w:sz w:val="24"/>
        </w:rPr>
        <w:t>法定代表人：</w:t>
      </w:r>
      <w:r>
        <w:rPr>
          <w:rFonts w:hint="eastAsia" w:ascii="宋体" w:hAnsi="宋体" w:cs="宋体"/>
          <w:sz w:val="24"/>
          <w:u w:val="single"/>
        </w:rPr>
        <w:t xml:space="preserve">                   </w:t>
      </w:r>
    </w:p>
    <w:p>
      <w:pPr>
        <w:snapToGrid w:val="0"/>
        <w:spacing w:line="520" w:lineRule="exact"/>
        <w:rPr>
          <w:rFonts w:ascii="宋体" w:hAnsi="宋体" w:cs="宋体"/>
          <w:sz w:val="24"/>
        </w:rPr>
      </w:pPr>
      <w:r>
        <w:rPr>
          <w:rFonts w:hint="eastAsia" w:ascii="宋体" w:hAnsi="宋体" w:cs="宋体"/>
          <w:sz w:val="24"/>
        </w:rPr>
        <w:t xml:space="preserve">受托人：姓名 </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 xml:space="preserve"> 出生日期：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line="520" w:lineRule="exact"/>
        <w:rPr>
          <w:rFonts w:ascii="宋体" w:hAnsi="宋体" w:cs="宋体"/>
          <w:sz w:val="24"/>
        </w:rPr>
      </w:pPr>
      <w:r>
        <w:rPr>
          <w:rFonts w:hint="eastAsia" w:ascii="宋体" w:hAnsi="宋体" w:cs="宋体"/>
          <w:sz w:val="24"/>
        </w:rPr>
        <w:t>所在单位：</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napToGrid w:val="0"/>
        <w:spacing w:line="520" w:lineRule="exact"/>
        <w:rPr>
          <w:rFonts w:ascii="宋体" w:hAnsi="宋体" w:cs="宋体"/>
          <w:sz w:val="24"/>
        </w:rPr>
      </w:pPr>
      <w:r>
        <w:rPr>
          <w:rFonts w:hint="eastAsia" w:ascii="宋体" w:hAnsi="宋体" w:cs="宋体"/>
          <w:sz w:val="24"/>
        </w:rPr>
        <w:t>身 份 证：</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p>
    <w:p>
      <w:pPr>
        <w:snapToGrid w:val="0"/>
        <w:spacing w:line="520" w:lineRule="exact"/>
        <w:ind w:firstLine="360" w:firstLineChars="150"/>
        <w:rPr>
          <w:rFonts w:ascii="宋体" w:hAnsi="宋体" w:cs="宋体"/>
          <w:sz w:val="24"/>
        </w:rPr>
      </w:pPr>
      <w:r>
        <w:rPr>
          <w:rFonts w:hint="eastAsia" w:ascii="宋体" w:hAnsi="宋体" w:cs="宋体"/>
          <w:sz w:val="24"/>
        </w:rPr>
        <w:t>兹委托受托人代表我公司参加</w:t>
      </w:r>
      <w:r>
        <w:rPr>
          <w:rFonts w:hint="eastAsia" w:ascii="宋体" w:hAnsi="宋体" w:cs="宋体"/>
          <w:sz w:val="24"/>
          <w:u w:val="single"/>
        </w:rPr>
        <w:t>淮阴师范学院招投标办公室</w:t>
      </w:r>
      <w:r>
        <w:rPr>
          <w:rFonts w:hint="eastAsia" w:ascii="宋体" w:hAnsi="宋体" w:cs="宋体"/>
          <w:sz w:val="24"/>
        </w:rPr>
        <w:t>组织的</w:t>
      </w:r>
      <w:r>
        <w:rPr>
          <w:rFonts w:hint="eastAsia" w:ascii="宋体" w:hAnsi="宋体" w:cs="宋体"/>
          <w:sz w:val="24"/>
          <w:u w:val="single"/>
        </w:rPr>
        <w:t xml:space="preserve">    （项目名称及编号）    </w:t>
      </w:r>
      <w:r>
        <w:rPr>
          <w:rFonts w:hint="eastAsia" w:ascii="宋体" w:hAnsi="宋体" w:cs="宋体"/>
          <w:sz w:val="24"/>
        </w:rPr>
        <w:t>的采购活动，受托人有权在该磋商活动中，以我单位的名义签署磋商函和响应文件、其有关文件、与采购人及采购代理机构等进行协商、澄清、解释、签订合同书并执行一切与此有关的事项。</w:t>
      </w:r>
    </w:p>
    <w:p>
      <w:pPr>
        <w:snapToGrid w:val="0"/>
        <w:spacing w:line="520" w:lineRule="exact"/>
        <w:rPr>
          <w:rFonts w:ascii="宋体" w:hAnsi="宋体" w:cs="宋体"/>
          <w:sz w:val="24"/>
        </w:rPr>
      </w:pPr>
      <w:r>
        <w:rPr>
          <w:rFonts w:hint="eastAsia" w:ascii="宋体" w:hAnsi="宋体" w:cs="宋体"/>
          <w:sz w:val="24"/>
        </w:rPr>
        <w:t xml:space="preserve">    受托人在办理上述事宜过程中以其自己的名义所签署的所有文件我公司均予以承认。受托人无转委托权。</w:t>
      </w:r>
    </w:p>
    <w:p>
      <w:pPr>
        <w:snapToGrid w:val="0"/>
        <w:spacing w:line="520" w:lineRule="exact"/>
        <w:ind w:firstLine="480" w:firstLineChars="200"/>
        <w:rPr>
          <w:rFonts w:ascii="宋体" w:hAnsi="宋体" w:cs="宋体"/>
          <w:sz w:val="24"/>
        </w:rPr>
      </w:pPr>
      <w:r>
        <w:rPr>
          <w:rFonts w:hint="eastAsia" w:ascii="宋体" w:hAnsi="宋体" w:cs="宋体"/>
          <w:sz w:val="24"/>
        </w:rPr>
        <w:t>委托期限：至上述事宜处理完毕止。</w:t>
      </w:r>
    </w:p>
    <w:p>
      <w:pPr>
        <w:snapToGrid w:val="0"/>
        <w:spacing w:line="360" w:lineRule="auto"/>
        <w:ind w:firstLine="600"/>
        <w:rPr>
          <w:rFonts w:ascii="宋体" w:hAnsi="宋体" w:cs="宋体"/>
          <w:sz w:val="24"/>
        </w:rPr>
      </w:pPr>
    </w:p>
    <w:p>
      <w:pPr>
        <w:snapToGrid w:val="0"/>
        <w:spacing w:line="360" w:lineRule="auto"/>
        <w:ind w:firstLine="600"/>
        <w:rPr>
          <w:rFonts w:ascii="宋体" w:hAnsi="宋体" w:cs="宋体"/>
          <w:sz w:val="24"/>
        </w:rPr>
      </w:pPr>
    </w:p>
    <w:p>
      <w:pPr>
        <w:snapToGrid w:val="0"/>
        <w:spacing w:line="360" w:lineRule="auto"/>
        <w:ind w:firstLine="600"/>
        <w:rPr>
          <w:rFonts w:ascii="宋体" w:hAnsi="宋体" w:cs="宋体"/>
          <w:sz w:val="24"/>
        </w:rPr>
      </w:pPr>
    </w:p>
    <w:p>
      <w:pPr>
        <w:snapToGrid w:val="0"/>
        <w:spacing w:line="360" w:lineRule="auto"/>
        <w:ind w:firstLine="4320" w:firstLineChars="1800"/>
        <w:rPr>
          <w:rFonts w:ascii="宋体" w:hAnsi="宋体" w:cs="宋体"/>
          <w:sz w:val="24"/>
          <w:u w:val="single"/>
        </w:rPr>
      </w:pPr>
      <w:r>
        <w:rPr>
          <w:rFonts w:hint="eastAsia" w:ascii="宋体" w:hAnsi="宋体" w:cs="宋体"/>
          <w:sz w:val="24"/>
        </w:rPr>
        <w:t>委托单位：</w:t>
      </w:r>
      <w:r>
        <w:rPr>
          <w:rFonts w:hint="eastAsia" w:ascii="宋体" w:hAnsi="宋体" w:cs="宋体"/>
          <w:sz w:val="24"/>
          <w:u w:val="single"/>
        </w:rPr>
        <w:t xml:space="preserve">             （盖公章）</w:t>
      </w:r>
    </w:p>
    <w:p>
      <w:pPr>
        <w:snapToGrid w:val="0"/>
        <w:spacing w:line="360" w:lineRule="auto"/>
        <w:ind w:firstLine="4320" w:firstLineChars="180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（签字）</w:t>
      </w:r>
    </w:p>
    <w:p>
      <w:pPr>
        <w:snapToGrid w:val="0"/>
        <w:spacing w:line="360" w:lineRule="auto"/>
        <w:ind w:firstLine="4320" w:firstLineChars="1800"/>
        <w:rPr>
          <w:rFonts w:ascii="宋体" w:hAnsi="宋体" w:cs="宋体"/>
          <w:sz w:val="24"/>
        </w:rPr>
      </w:pPr>
      <w:r>
        <w:rPr>
          <w:rFonts w:hint="eastAsia" w:ascii="宋体" w:hAnsi="宋体" w:cs="宋体"/>
          <w:sz w:val="24"/>
        </w:rPr>
        <w:t>日     期：     年     月    日</w:t>
      </w:r>
    </w:p>
    <w:p>
      <w:pPr>
        <w:spacing w:line="440" w:lineRule="exact"/>
        <w:ind w:firstLine="482" w:firstLineChars="200"/>
        <w:rPr>
          <w:rFonts w:ascii="宋体" w:hAnsi="宋体" w:cs="宋体"/>
          <w:b/>
          <w:bCs/>
          <w:sz w:val="24"/>
        </w:rPr>
      </w:pPr>
    </w:p>
    <w:p>
      <w:pPr>
        <w:snapToGrid w:val="0"/>
        <w:spacing w:line="440" w:lineRule="exact"/>
        <w:ind w:firstLine="520" w:firstLineChars="216"/>
        <w:rPr>
          <w:rFonts w:ascii="宋体" w:hAnsi="宋体" w:cs="宋体"/>
          <w:b/>
          <w:sz w:val="24"/>
        </w:rPr>
      </w:pPr>
      <w:r>
        <w:rPr>
          <w:rFonts w:hint="eastAsia" w:ascii="宋体" w:hAnsi="宋体" w:cs="宋体"/>
          <w:b/>
          <w:bCs/>
          <w:sz w:val="24"/>
        </w:rPr>
        <w:t>注:供应商委托受托人参加磋商的，必须附受托人身份证复印件并加盖委托单位公章，参加磋商时受托人将身份证原件带至磋商现场备查。</w:t>
      </w:r>
      <w:r>
        <w:rPr>
          <w:rFonts w:hint="eastAsia" w:ascii="宋体" w:hAnsi="宋体" w:cs="宋体"/>
          <w:b/>
          <w:sz w:val="24"/>
        </w:rPr>
        <w:t>法定代表人直接参加磋商的，仅需填写“法定代表人资格证明”。</w:t>
      </w:r>
    </w:p>
    <w:p>
      <w:pPr>
        <w:widowControl/>
        <w:jc w:val="left"/>
        <w:rPr>
          <w:rFonts w:ascii="宋体" w:hAnsi="宋体" w:cs="宋体"/>
          <w:b/>
          <w:sz w:val="30"/>
          <w:szCs w:val="30"/>
        </w:rPr>
      </w:pPr>
    </w:p>
    <w:p>
      <w:pPr>
        <w:pStyle w:val="10"/>
        <w:spacing w:line="336" w:lineRule="auto"/>
        <w:rPr>
          <w:rFonts w:hAnsi="宋体" w:cs="宋体"/>
          <w:b/>
          <w:sz w:val="30"/>
          <w:szCs w:val="30"/>
        </w:rPr>
      </w:pPr>
      <w:r>
        <w:rPr>
          <w:rFonts w:hint="eastAsia" w:hAnsi="宋体" w:cs="宋体"/>
          <w:b/>
          <w:sz w:val="30"/>
          <w:szCs w:val="30"/>
        </w:rPr>
        <w:t>示范格式三：</w:t>
      </w:r>
    </w:p>
    <w:p>
      <w:pPr>
        <w:pStyle w:val="10"/>
        <w:spacing w:line="336" w:lineRule="auto"/>
        <w:jc w:val="center"/>
        <w:rPr>
          <w:rFonts w:hAnsi="宋体" w:cs="宋体"/>
          <w:b/>
          <w:sz w:val="30"/>
          <w:szCs w:val="30"/>
        </w:rPr>
      </w:pPr>
      <w:r>
        <w:rPr>
          <w:rFonts w:hint="eastAsia" w:hAnsi="宋体" w:cs="宋体"/>
          <w:b/>
          <w:sz w:val="30"/>
          <w:szCs w:val="30"/>
        </w:rPr>
        <w:t>参加政府采购活动前三年内在经营活动中没有重大</w:t>
      </w:r>
    </w:p>
    <w:p>
      <w:pPr>
        <w:pStyle w:val="10"/>
        <w:spacing w:line="336" w:lineRule="auto"/>
        <w:jc w:val="center"/>
        <w:rPr>
          <w:rFonts w:hAnsi="宋体" w:cs="宋体"/>
          <w:b/>
          <w:sz w:val="30"/>
          <w:szCs w:val="30"/>
        </w:rPr>
      </w:pPr>
      <w:r>
        <w:rPr>
          <w:rFonts w:hint="eastAsia" w:hAnsi="宋体" w:cs="宋体"/>
          <w:b/>
          <w:sz w:val="30"/>
          <w:szCs w:val="30"/>
        </w:rPr>
        <w:t>违法记录的书面声明</w:t>
      </w:r>
      <w:r>
        <w:rPr>
          <w:rFonts w:hAnsi="宋体" w:cs="宋体"/>
          <w:b/>
          <w:sz w:val="30"/>
          <w:szCs w:val="30"/>
        </w:rPr>
        <w:t xml:space="preserve"> </w:t>
      </w:r>
    </w:p>
    <w:p>
      <w:pPr>
        <w:snapToGrid w:val="0"/>
        <w:spacing w:line="520" w:lineRule="exact"/>
        <w:ind w:firstLine="600" w:firstLineChars="250"/>
        <w:rPr>
          <w:rFonts w:ascii="宋体" w:hAnsi="宋体" w:cs="宋体"/>
          <w:sz w:val="24"/>
        </w:rPr>
      </w:pPr>
    </w:p>
    <w:p>
      <w:pPr>
        <w:snapToGrid w:val="0"/>
        <w:spacing w:line="520" w:lineRule="exact"/>
        <w:ind w:firstLine="600" w:firstLineChars="250"/>
        <w:rPr>
          <w:rFonts w:ascii="宋体" w:hAnsi="宋体" w:cs="宋体"/>
          <w:sz w:val="24"/>
        </w:rPr>
      </w:pPr>
      <w:r>
        <w:rPr>
          <w:rFonts w:hint="eastAsia" w:ascii="宋体" w:hAnsi="宋体" w:cs="宋体"/>
          <w:sz w:val="24"/>
        </w:rPr>
        <w:t>我公司郑重声明:参加本次政府采购活动前三年内，我公司在经营活动中没有因违法经营受到刑事处罚或者责令停产停业、吊销许可证或者执照、较大数额罚款等行政处罚。</w:t>
      </w:r>
      <w:r>
        <w:rPr>
          <w:rFonts w:ascii="宋体" w:hAnsi="宋体" w:cs="宋体"/>
          <w:sz w:val="24"/>
        </w:rPr>
        <w:t xml:space="preserve"> </w:t>
      </w:r>
    </w:p>
    <w:p>
      <w:pPr>
        <w:snapToGrid w:val="0"/>
        <w:spacing w:line="520" w:lineRule="exact"/>
        <w:ind w:firstLine="360" w:firstLineChars="150"/>
        <w:rPr>
          <w:rFonts w:ascii="宋体" w:hAnsi="宋体" w:cs="宋体"/>
          <w:sz w:val="24"/>
        </w:rPr>
      </w:pPr>
    </w:p>
    <w:p>
      <w:pPr>
        <w:snapToGrid w:val="0"/>
        <w:spacing w:line="520" w:lineRule="exact"/>
        <w:ind w:firstLine="360" w:firstLineChars="150"/>
        <w:rPr>
          <w:rFonts w:ascii="宋体" w:hAnsi="宋体" w:cs="宋体"/>
          <w:sz w:val="24"/>
        </w:rPr>
      </w:pPr>
      <w:r>
        <w:rPr>
          <w:rFonts w:hint="eastAsia" w:ascii="宋体" w:hAnsi="宋体" w:cs="宋体"/>
          <w:sz w:val="24"/>
        </w:rPr>
        <w:t>特此声明！</w:t>
      </w:r>
    </w:p>
    <w:p>
      <w:pPr>
        <w:snapToGrid w:val="0"/>
        <w:spacing w:line="520" w:lineRule="exact"/>
        <w:ind w:firstLine="360" w:firstLineChars="150"/>
        <w:rPr>
          <w:rFonts w:ascii="宋体" w:hAnsi="宋体" w:cs="宋体"/>
          <w:sz w:val="24"/>
        </w:rPr>
      </w:pPr>
    </w:p>
    <w:p>
      <w:pPr>
        <w:snapToGrid w:val="0"/>
        <w:spacing w:line="520" w:lineRule="exact"/>
        <w:ind w:firstLine="360" w:firstLineChars="150"/>
        <w:rPr>
          <w:rFonts w:ascii="宋体" w:hAnsi="宋体" w:cs="宋体"/>
          <w:sz w:val="24"/>
        </w:rPr>
      </w:pPr>
    </w:p>
    <w:p>
      <w:pPr>
        <w:snapToGrid w:val="0"/>
        <w:spacing w:line="520" w:lineRule="exact"/>
        <w:ind w:firstLine="360" w:firstLineChars="150"/>
        <w:rPr>
          <w:rFonts w:ascii="宋体" w:hAnsi="宋体" w:cs="宋体"/>
          <w:sz w:val="24"/>
          <w:u w:val="single"/>
        </w:rPr>
      </w:pPr>
      <w:r>
        <w:rPr>
          <w:rFonts w:hint="eastAsia" w:ascii="宋体" w:hAnsi="宋体" w:cs="宋体"/>
          <w:sz w:val="24"/>
        </w:rPr>
        <w:t xml:space="preserve">                                       供应商:</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盖公章</w:t>
      </w:r>
      <w:r>
        <w:rPr>
          <w:rFonts w:ascii="宋体" w:hAnsi="宋体" w:cs="宋体"/>
          <w:sz w:val="24"/>
          <w:u w:val="single"/>
        </w:rPr>
        <w:t>)</w:t>
      </w:r>
    </w:p>
    <w:p>
      <w:pPr>
        <w:snapToGrid w:val="0"/>
        <w:spacing w:line="520" w:lineRule="exact"/>
        <w:ind w:firstLine="3240" w:firstLineChars="1350"/>
        <w:rPr>
          <w:rFonts w:ascii="宋体" w:hAnsi="宋体" w:cs="宋体"/>
          <w:sz w:val="24"/>
        </w:rPr>
      </w:pPr>
      <w:r>
        <w:rPr>
          <w:rFonts w:hint="eastAsia" w:ascii="宋体" w:hAnsi="宋体" w:cs="宋体"/>
          <w:sz w:val="24"/>
        </w:rPr>
        <w:t>法定代表人（或其委托受托人）:</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（签字） </w:t>
      </w:r>
    </w:p>
    <w:p>
      <w:pPr>
        <w:snapToGrid w:val="0"/>
        <w:spacing w:line="520" w:lineRule="exact"/>
        <w:ind w:firstLine="360" w:firstLineChars="150"/>
        <w:rPr>
          <w:rFonts w:ascii="宋体" w:hAnsi="宋体" w:cs="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 xml:space="preserve"> 日   期: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pStyle w:val="10"/>
        <w:spacing w:line="336" w:lineRule="auto"/>
        <w:rPr>
          <w:rFonts w:hAnsi="宋体" w:cs="宋体"/>
          <w:b/>
          <w:sz w:val="24"/>
          <w:szCs w:val="24"/>
        </w:rPr>
      </w:pPr>
    </w:p>
    <w:p>
      <w:pPr>
        <w:snapToGrid w:val="0"/>
        <w:spacing w:line="520" w:lineRule="exact"/>
        <w:ind w:firstLine="360" w:firstLineChars="150"/>
        <w:rPr>
          <w:rFonts w:ascii="宋体" w:hAnsi="宋体" w:cs="宋体"/>
          <w:sz w:val="24"/>
        </w:rPr>
      </w:pPr>
    </w:p>
    <w:p>
      <w:pPr>
        <w:snapToGrid w:val="0"/>
        <w:spacing w:line="520" w:lineRule="exact"/>
        <w:ind w:firstLine="360" w:firstLineChars="150"/>
        <w:rPr>
          <w:rFonts w:ascii="宋体" w:hAnsi="宋体" w:cs="宋体"/>
          <w:sz w:val="24"/>
        </w:rPr>
      </w:pPr>
    </w:p>
    <w:p/>
    <w:p>
      <w:pPr>
        <w:snapToGrid w:val="0"/>
        <w:spacing w:line="520" w:lineRule="exact"/>
        <w:ind w:firstLine="360" w:firstLineChars="150"/>
        <w:rPr>
          <w:rFonts w:ascii="宋体" w:hAnsi="宋体" w:cs="宋体"/>
          <w:sz w:val="24"/>
        </w:rPr>
      </w:pPr>
    </w:p>
    <w:p>
      <w:pPr>
        <w:snapToGrid w:val="0"/>
        <w:spacing w:line="520" w:lineRule="exact"/>
        <w:ind w:firstLine="360" w:firstLineChars="150"/>
        <w:rPr>
          <w:rFonts w:ascii="宋体" w:hAnsi="宋体" w:cs="宋体"/>
          <w:sz w:val="24"/>
        </w:rPr>
      </w:pPr>
    </w:p>
    <w:p>
      <w:pPr>
        <w:snapToGrid w:val="0"/>
        <w:spacing w:line="520" w:lineRule="exact"/>
        <w:ind w:firstLine="360" w:firstLineChars="150"/>
        <w:rPr>
          <w:rFonts w:ascii="宋体" w:hAnsi="宋体" w:cs="宋体"/>
          <w:sz w:val="24"/>
        </w:rPr>
      </w:pPr>
    </w:p>
    <w:p>
      <w:pPr>
        <w:snapToGrid w:val="0"/>
        <w:spacing w:line="520" w:lineRule="exact"/>
        <w:ind w:firstLine="360" w:firstLineChars="150"/>
        <w:rPr>
          <w:rFonts w:ascii="宋体" w:hAnsi="宋体" w:cs="宋体"/>
          <w:sz w:val="24"/>
        </w:rPr>
      </w:pPr>
    </w:p>
    <w:p>
      <w:pPr>
        <w:snapToGrid w:val="0"/>
        <w:spacing w:line="520" w:lineRule="exact"/>
        <w:ind w:firstLine="315" w:firstLineChars="150"/>
      </w:pPr>
    </w:p>
    <w:p/>
    <w:p>
      <w:pPr>
        <w:pStyle w:val="10"/>
        <w:spacing w:line="336" w:lineRule="auto"/>
        <w:rPr>
          <w:rFonts w:hAnsi="宋体" w:cs="宋体"/>
          <w:b/>
          <w:sz w:val="30"/>
          <w:szCs w:val="30"/>
        </w:rPr>
      </w:pPr>
    </w:p>
    <w:p>
      <w:pPr>
        <w:pStyle w:val="10"/>
        <w:spacing w:line="336" w:lineRule="auto"/>
        <w:rPr>
          <w:rFonts w:hAnsi="宋体" w:cs="宋体"/>
          <w:b/>
          <w:sz w:val="30"/>
          <w:szCs w:val="30"/>
        </w:rPr>
      </w:pPr>
    </w:p>
    <w:p>
      <w:pPr>
        <w:pStyle w:val="10"/>
        <w:spacing w:line="336" w:lineRule="auto"/>
        <w:rPr>
          <w:rFonts w:hAnsi="宋体" w:cs="宋体"/>
          <w:b/>
          <w:sz w:val="30"/>
          <w:szCs w:val="30"/>
        </w:rPr>
      </w:pPr>
    </w:p>
    <w:p>
      <w:pPr>
        <w:pStyle w:val="10"/>
        <w:spacing w:line="336" w:lineRule="auto"/>
        <w:rPr>
          <w:rFonts w:hAnsi="宋体" w:cs="宋体"/>
          <w:b/>
          <w:sz w:val="30"/>
          <w:szCs w:val="30"/>
        </w:rPr>
      </w:pPr>
      <w:r>
        <w:rPr>
          <w:rFonts w:hint="eastAsia" w:hAnsi="宋体" w:cs="宋体"/>
          <w:b/>
          <w:sz w:val="30"/>
          <w:szCs w:val="30"/>
        </w:rPr>
        <w:t>示范格式四</w:t>
      </w:r>
    </w:p>
    <w:p>
      <w:pPr>
        <w:pStyle w:val="10"/>
        <w:spacing w:line="336" w:lineRule="auto"/>
        <w:jc w:val="center"/>
        <w:rPr>
          <w:rFonts w:hAnsi="宋体" w:cs="宋体"/>
          <w:b/>
          <w:sz w:val="30"/>
          <w:szCs w:val="30"/>
        </w:rPr>
      </w:pPr>
      <w:r>
        <w:rPr>
          <w:rFonts w:hint="eastAsia" w:hAnsi="宋体" w:cs="宋体"/>
          <w:b/>
          <w:sz w:val="30"/>
          <w:szCs w:val="30"/>
        </w:rPr>
        <w:t>承 诺 书</w:t>
      </w:r>
    </w:p>
    <w:p>
      <w:pPr>
        <w:snapToGrid w:val="0"/>
        <w:spacing w:line="360" w:lineRule="auto"/>
        <w:rPr>
          <w:rFonts w:ascii="仿宋" w:hAnsi="仿宋" w:eastAsia="仿宋"/>
          <w:sz w:val="28"/>
          <w:szCs w:val="28"/>
          <w:u w:val="single"/>
        </w:rPr>
      </w:pPr>
    </w:p>
    <w:p>
      <w:pPr>
        <w:adjustRightInd w:val="0"/>
        <w:snapToGrid w:val="0"/>
        <w:spacing w:line="360" w:lineRule="auto"/>
        <w:rPr>
          <w:rFonts w:ascii="宋体" w:hAnsi="宋体" w:cs="宋体"/>
          <w:sz w:val="24"/>
        </w:rPr>
      </w:pPr>
      <w:r>
        <w:rPr>
          <w:rFonts w:hint="eastAsia" w:ascii="宋体" w:hAnsi="宋体" w:cs="宋体"/>
          <w:sz w:val="24"/>
        </w:rPr>
        <w:t>致淮阴师范学院：</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我单位郑重承诺，在本次采购过程中符合下列情形：</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（1）供应商单位负责人为同一人或者存在直接控股、管理关系的不同供应商，不得同时参加同一合同项下的政府采购活动。</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（2）凡为采购项目提供整体设计、规范编制或者项目管理、监理、检测等服务的供应商，不得再参加本项目的采购活动。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特此承诺！</w:t>
      </w:r>
    </w:p>
    <w:p>
      <w:pPr>
        <w:adjustRightInd w:val="0"/>
        <w:snapToGrid w:val="0"/>
        <w:spacing w:line="360" w:lineRule="auto"/>
        <w:ind w:firstLine="315" w:firstLineChars="150"/>
      </w:pPr>
    </w:p>
    <w:p>
      <w:pPr>
        <w:snapToGrid w:val="0"/>
        <w:spacing w:line="360" w:lineRule="auto"/>
        <w:ind w:firstLine="3480" w:firstLineChars="1450"/>
        <w:rPr>
          <w:rFonts w:ascii="仿宋" w:hAnsi="仿宋" w:eastAsia="仿宋"/>
          <w:bCs/>
          <w:color w:val="000000"/>
          <w:sz w:val="24"/>
        </w:rPr>
      </w:pPr>
    </w:p>
    <w:p>
      <w:pPr>
        <w:pStyle w:val="7"/>
      </w:pPr>
    </w:p>
    <w:p>
      <w:pPr>
        <w:pStyle w:val="7"/>
        <w:adjustRightInd w:val="0"/>
        <w:snapToGrid w:val="0"/>
        <w:spacing w:after="0" w:line="360" w:lineRule="auto"/>
        <w:rPr>
          <w:rFonts w:asciiTheme="minorEastAsia" w:hAnsiTheme="minorEastAsia" w:eastAsiaTheme="minorEastAsia"/>
        </w:rPr>
      </w:pPr>
    </w:p>
    <w:p>
      <w:pPr>
        <w:adjustRightInd w:val="0"/>
        <w:snapToGrid w:val="0"/>
        <w:spacing w:line="360" w:lineRule="auto"/>
        <w:ind w:firstLine="3480" w:firstLineChars="1450"/>
        <w:rPr>
          <w:rFonts w:asciiTheme="minorEastAsia" w:hAnsiTheme="minorEastAsia" w:eastAsiaTheme="minorEastAsia"/>
          <w:bCs/>
          <w:color w:val="000000"/>
          <w:sz w:val="24"/>
        </w:rPr>
      </w:pPr>
    </w:p>
    <w:p>
      <w:pPr>
        <w:adjustRightInd w:val="0"/>
        <w:snapToGrid w:val="0"/>
        <w:spacing w:line="360" w:lineRule="auto"/>
        <w:ind w:firstLine="3480" w:firstLineChars="145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 xml:space="preserve">供应商:  </w:t>
      </w:r>
      <w:r>
        <w:rPr>
          <w:rFonts w:hint="eastAsia" w:asciiTheme="minorEastAsia" w:hAnsiTheme="minorEastAsia" w:eastAsiaTheme="minorEastAsia"/>
          <w:bCs/>
          <w:color w:val="000000"/>
          <w:sz w:val="24"/>
          <w:u w:val="single"/>
        </w:rPr>
        <w:t xml:space="preserve">                        (盖公章)</w:t>
      </w:r>
    </w:p>
    <w:p>
      <w:pPr>
        <w:adjustRightInd w:val="0"/>
        <w:snapToGrid w:val="0"/>
        <w:spacing w:line="360" w:lineRule="auto"/>
        <w:ind w:firstLine="3480" w:firstLineChars="145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法定代表人或其委托受托人:</w:t>
      </w:r>
      <w:r>
        <w:rPr>
          <w:rFonts w:hint="eastAsia" w:asciiTheme="minorEastAsia" w:hAnsiTheme="minorEastAsia" w:eastAsiaTheme="minorEastAsia"/>
          <w:bCs/>
          <w:color w:val="000000"/>
          <w:sz w:val="24"/>
          <w:u w:val="single"/>
        </w:rPr>
        <w:t xml:space="preserve">        （签字）</w:t>
      </w:r>
    </w:p>
    <w:p>
      <w:pPr>
        <w:adjustRightInd w:val="0"/>
        <w:snapToGrid w:val="0"/>
        <w:spacing w:line="360" w:lineRule="auto"/>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 xml:space="preserve">                         日  期:        年      月    日</w:t>
      </w:r>
    </w:p>
    <w:p>
      <w:pPr>
        <w:pStyle w:val="4"/>
        <w:spacing w:line="640" w:lineRule="exact"/>
        <w:ind w:firstLine="643"/>
        <w:rPr>
          <w:rFonts w:ascii="仿宋" w:hAnsi="仿宋" w:eastAsia="仿宋"/>
          <w:b/>
          <w:sz w:val="32"/>
          <w:szCs w:val="32"/>
        </w:rPr>
      </w:pPr>
    </w:p>
    <w:p>
      <w:pPr>
        <w:pStyle w:val="4"/>
        <w:spacing w:line="640" w:lineRule="exact"/>
        <w:ind w:firstLine="643"/>
        <w:rPr>
          <w:rFonts w:ascii="仿宋" w:hAnsi="仿宋" w:eastAsia="仿宋"/>
          <w:b/>
          <w:sz w:val="32"/>
          <w:szCs w:val="32"/>
        </w:rPr>
      </w:pPr>
    </w:p>
    <w:p>
      <w:pPr>
        <w:pStyle w:val="4"/>
        <w:spacing w:line="640" w:lineRule="exact"/>
        <w:ind w:firstLine="643"/>
        <w:rPr>
          <w:rFonts w:ascii="仿宋" w:hAnsi="仿宋" w:eastAsia="仿宋"/>
          <w:b/>
          <w:sz w:val="32"/>
          <w:szCs w:val="32"/>
        </w:rPr>
      </w:pPr>
    </w:p>
    <w:p>
      <w:pPr>
        <w:pStyle w:val="4"/>
        <w:spacing w:line="640" w:lineRule="exact"/>
        <w:ind w:firstLine="643"/>
        <w:rPr>
          <w:rFonts w:ascii="仿宋" w:hAnsi="仿宋" w:eastAsia="仿宋"/>
          <w:b/>
          <w:sz w:val="32"/>
          <w:szCs w:val="32"/>
        </w:rPr>
      </w:pPr>
    </w:p>
    <w:p>
      <w:pPr>
        <w:pStyle w:val="4"/>
        <w:spacing w:line="640" w:lineRule="exact"/>
        <w:ind w:firstLine="643"/>
        <w:rPr>
          <w:rFonts w:ascii="仿宋" w:hAnsi="仿宋" w:eastAsia="仿宋"/>
          <w:b/>
          <w:sz w:val="32"/>
          <w:szCs w:val="32"/>
        </w:rPr>
      </w:pPr>
    </w:p>
    <w:p>
      <w:pPr>
        <w:pStyle w:val="4"/>
        <w:spacing w:line="640" w:lineRule="exact"/>
        <w:ind w:firstLine="643"/>
        <w:rPr>
          <w:rFonts w:ascii="仿宋" w:hAnsi="仿宋" w:eastAsia="仿宋"/>
          <w:b/>
          <w:sz w:val="32"/>
          <w:szCs w:val="32"/>
        </w:rPr>
      </w:pPr>
    </w:p>
    <w:p>
      <w:pPr>
        <w:pStyle w:val="4"/>
        <w:spacing w:line="640" w:lineRule="exact"/>
        <w:ind w:firstLine="643"/>
        <w:rPr>
          <w:rFonts w:ascii="仿宋" w:hAnsi="仿宋" w:eastAsia="仿宋"/>
          <w:b/>
          <w:sz w:val="32"/>
          <w:szCs w:val="32"/>
        </w:rPr>
      </w:pPr>
    </w:p>
    <w:p>
      <w:pPr>
        <w:pStyle w:val="10"/>
        <w:spacing w:line="336" w:lineRule="auto"/>
        <w:rPr>
          <w:rFonts w:hAnsi="宋体" w:cs="宋体"/>
          <w:b/>
          <w:sz w:val="30"/>
          <w:szCs w:val="30"/>
        </w:rPr>
      </w:pPr>
    </w:p>
    <w:sectPr>
      <w:headerReference r:id="rId4" w:type="first"/>
      <w:headerReference r:id="rId3" w:type="default"/>
      <w:footerReference r:id="rId5" w:type="default"/>
      <w:pgSz w:w="11906" w:h="16838"/>
      <w:pgMar w:top="1134" w:right="1418" w:bottom="1134" w:left="1418"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dobe 仿宋 Std R">
    <w:altName w:val="仿宋_GB2312"/>
    <w:panose1 w:val="00000000000000000000"/>
    <w:charset w:val="86"/>
    <w:family w:val="roman"/>
    <w:pitch w:val="default"/>
    <w:sig w:usb0="00000000" w:usb1="00000000" w:usb2="00000016" w:usb3="00000000" w:csb0="00060007" w:csb1="00000000"/>
  </w:font>
  <w:font w:name="Tahoma">
    <w:panose1 w:val="020B0604030504040204"/>
    <w:charset w:val="00"/>
    <w:family w:val="swiss"/>
    <w:pitch w:val="default"/>
    <w:sig w:usb0="61007A87" w:usb1="80000000" w:usb2="00000008" w:usb3="00000000" w:csb0="200101FF" w:csb1="20280000"/>
  </w:font>
  <w:font w:name="Calibri Light">
    <w:altName w:val="RomanS"/>
    <w:panose1 w:val="020F0302020204030204"/>
    <w:charset w:val="00"/>
    <w:family w:val="swiss"/>
    <w:pitch w:val="default"/>
    <w:sig w:usb0="00000000" w:usb1="00000000" w:usb2="00000000" w:usb3="00000000" w:csb0="0000019F" w:csb1="00000000"/>
  </w:font>
  <w:font w:name="Verdana">
    <w:panose1 w:val="020B0604030504040204"/>
    <w:charset w:val="00"/>
    <w:family w:val="swiss"/>
    <w:pitch w:val="default"/>
    <w:sig w:usb0="00000287" w:usb1="00000000" w:usb2="00000000"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Helvetica Neue">
    <w:altName w:val="Shruti"/>
    <w:panose1 w:val="02000503000000020004"/>
    <w:charset w:val="00"/>
    <w:family w:val="auto"/>
    <w:pitch w:val="default"/>
    <w:sig w:usb0="00000000" w:usb1="00000000" w:usb2="00000010" w:usb3="00000000" w:csb0="00000001" w:csb1="00000000"/>
  </w:font>
  <w:font w:name="Arial Rounded MT Bold">
    <w:panose1 w:val="020F0704030504030204"/>
    <w:charset w:val="00"/>
    <w:family w:val="auto"/>
    <w:pitch w:val="default"/>
    <w:sig w:usb0="00000003" w:usb1="00000000" w:usb2="00000000" w:usb3="00000000" w:csb0="20000001" w:csb1="00000000"/>
  </w:font>
  <w:font w:name="RomanS">
    <w:panose1 w:val="02000400000000000000"/>
    <w:charset w:val="00"/>
    <w:family w:val="auto"/>
    <w:pitch w:val="default"/>
    <w:sig w:usb0="00000207" w:usb1="00000000" w:usb2="00000000" w:usb3="00000000" w:csb0="000001FF" w:csb1="0000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9525"/>
              <wp:wrapNone/>
              <wp:docPr id="2"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53</w:t>
                          </w:r>
                          <w:r>
                            <w:rPr>
                              <w:rFonts w:hint="eastAsia"/>
                              <w:sz w:val="18"/>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DJJMGmy&#10;AQAARQMAAA4AAAAAAAAAAQAgAAAAHw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rPr>
      <w:t>淮阴师范学院</w:t>
    </w:r>
    <w:r>
      <w:rPr>
        <w:rFonts w:hint="eastAsia"/>
        <w:bCs/>
        <w:kern w:val="0"/>
        <w:szCs w:val="21"/>
      </w:rPr>
      <w:t>生物化学、生物物理实验室建设项目</w:t>
    </w:r>
    <w:r>
      <w:rPr>
        <w:rFonts w:hint="eastAsia"/>
      </w:rPr>
      <w:t>磋商文件                       项目编号：HNU2020007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 xml:space="preserve"> 淮安市徐扬中学录播教室采购                                                 项目编号HAKFDL-竟谈-2015003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2FA1B"/>
    <w:multiLevelType w:val="singleLevel"/>
    <w:tmpl w:val="5802FA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B550E"/>
    <w:rsid w:val="000011F9"/>
    <w:rsid w:val="000158E1"/>
    <w:rsid w:val="00016163"/>
    <w:rsid w:val="0001691C"/>
    <w:rsid w:val="00021552"/>
    <w:rsid w:val="00024DF3"/>
    <w:rsid w:val="0002561E"/>
    <w:rsid w:val="000309B1"/>
    <w:rsid w:val="00036801"/>
    <w:rsid w:val="00036901"/>
    <w:rsid w:val="00037E00"/>
    <w:rsid w:val="00043E57"/>
    <w:rsid w:val="00043EF8"/>
    <w:rsid w:val="00044823"/>
    <w:rsid w:val="00045492"/>
    <w:rsid w:val="0004605E"/>
    <w:rsid w:val="0005193E"/>
    <w:rsid w:val="0005225C"/>
    <w:rsid w:val="00070014"/>
    <w:rsid w:val="0007304C"/>
    <w:rsid w:val="00077AB2"/>
    <w:rsid w:val="00077AD6"/>
    <w:rsid w:val="00077E4D"/>
    <w:rsid w:val="0008374A"/>
    <w:rsid w:val="0008681C"/>
    <w:rsid w:val="000977EE"/>
    <w:rsid w:val="000A0086"/>
    <w:rsid w:val="000A11CE"/>
    <w:rsid w:val="000B3B94"/>
    <w:rsid w:val="000B6797"/>
    <w:rsid w:val="000B7EEB"/>
    <w:rsid w:val="000C14EC"/>
    <w:rsid w:val="000C2DE8"/>
    <w:rsid w:val="000C614F"/>
    <w:rsid w:val="000D008A"/>
    <w:rsid w:val="000D4D71"/>
    <w:rsid w:val="000D6565"/>
    <w:rsid w:val="000D6C1E"/>
    <w:rsid w:val="000D76D4"/>
    <w:rsid w:val="000E1A5F"/>
    <w:rsid w:val="000E4F33"/>
    <w:rsid w:val="00100A8D"/>
    <w:rsid w:val="00101F55"/>
    <w:rsid w:val="0010297B"/>
    <w:rsid w:val="00105326"/>
    <w:rsid w:val="00107FF2"/>
    <w:rsid w:val="0011020E"/>
    <w:rsid w:val="00114FAC"/>
    <w:rsid w:val="0011649F"/>
    <w:rsid w:val="00117A86"/>
    <w:rsid w:val="001210BC"/>
    <w:rsid w:val="001227BD"/>
    <w:rsid w:val="00126A25"/>
    <w:rsid w:val="00126D7B"/>
    <w:rsid w:val="001302C6"/>
    <w:rsid w:val="00131ACD"/>
    <w:rsid w:val="00132B24"/>
    <w:rsid w:val="001344F0"/>
    <w:rsid w:val="00134996"/>
    <w:rsid w:val="00134C41"/>
    <w:rsid w:val="00140705"/>
    <w:rsid w:val="00141095"/>
    <w:rsid w:val="0014170E"/>
    <w:rsid w:val="00145718"/>
    <w:rsid w:val="001472DE"/>
    <w:rsid w:val="001510D5"/>
    <w:rsid w:val="00163C5B"/>
    <w:rsid w:val="00164435"/>
    <w:rsid w:val="001649EF"/>
    <w:rsid w:val="0017343D"/>
    <w:rsid w:val="001753BE"/>
    <w:rsid w:val="00180A99"/>
    <w:rsid w:val="00190881"/>
    <w:rsid w:val="001909C6"/>
    <w:rsid w:val="001927DE"/>
    <w:rsid w:val="001A553E"/>
    <w:rsid w:val="001B0CEA"/>
    <w:rsid w:val="001B13A3"/>
    <w:rsid w:val="001B464C"/>
    <w:rsid w:val="001C09EC"/>
    <w:rsid w:val="001C1C6A"/>
    <w:rsid w:val="001C71D1"/>
    <w:rsid w:val="001D2F3E"/>
    <w:rsid w:val="001D4823"/>
    <w:rsid w:val="001D6AF7"/>
    <w:rsid w:val="001E7E8C"/>
    <w:rsid w:val="001F0286"/>
    <w:rsid w:val="00201432"/>
    <w:rsid w:val="00203983"/>
    <w:rsid w:val="00203B61"/>
    <w:rsid w:val="00204185"/>
    <w:rsid w:val="00204B46"/>
    <w:rsid w:val="00207AE3"/>
    <w:rsid w:val="002116CF"/>
    <w:rsid w:val="00215E2A"/>
    <w:rsid w:val="00221E31"/>
    <w:rsid w:val="002224C0"/>
    <w:rsid w:val="00231CA4"/>
    <w:rsid w:val="00236E9C"/>
    <w:rsid w:val="00241F0C"/>
    <w:rsid w:val="002429CC"/>
    <w:rsid w:val="0024369F"/>
    <w:rsid w:val="002444DB"/>
    <w:rsid w:val="00247B8D"/>
    <w:rsid w:val="00254B3E"/>
    <w:rsid w:val="002604E1"/>
    <w:rsid w:val="00261860"/>
    <w:rsid w:val="00262DDB"/>
    <w:rsid w:val="0026596D"/>
    <w:rsid w:val="002729D7"/>
    <w:rsid w:val="00273B82"/>
    <w:rsid w:val="002A317B"/>
    <w:rsid w:val="002A519E"/>
    <w:rsid w:val="002B26E8"/>
    <w:rsid w:val="002B2E79"/>
    <w:rsid w:val="002B504E"/>
    <w:rsid w:val="002B604C"/>
    <w:rsid w:val="002B75E3"/>
    <w:rsid w:val="002B77C0"/>
    <w:rsid w:val="002C6896"/>
    <w:rsid w:val="002D06AB"/>
    <w:rsid w:val="002D2D63"/>
    <w:rsid w:val="002D4EE5"/>
    <w:rsid w:val="002D7297"/>
    <w:rsid w:val="002E16B6"/>
    <w:rsid w:val="002E406F"/>
    <w:rsid w:val="002E5135"/>
    <w:rsid w:val="002E712A"/>
    <w:rsid w:val="00301DC4"/>
    <w:rsid w:val="00304767"/>
    <w:rsid w:val="003148D3"/>
    <w:rsid w:val="00314CDF"/>
    <w:rsid w:val="00317461"/>
    <w:rsid w:val="00322372"/>
    <w:rsid w:val="0032732A"/>
    <w:rsid w:val="00330A6C"/>
    <w:rsid w:val="003312EB"/>
    <w:rsid w:val="00332378"/>
    <w:rsid w:val="003329E2"/>
    <w:rsid w:val="0033318F"/>
    <w:rsid w:val="00334C0D"/>
    <w:rsid w:val="0033678C"/>
    <w:rsid w:val="00336D2A"/>
    <w:rsid w:val="00336D36"/>
    <w:rsid w:val="003409F7"/>
    <w:rsid w:val="00342FC8"/>
    <w:rsid w:val="003458D0"/>
    <w:rsid w:val="00350098"/>
    <w:rsid w:val="003510AE"/>
    <w:rsid w:val="00352619"/>
    <w:rsid w:val="00355BC9"/>
    <w:rsid w:val="003632C8"/>
    <w:rsid w:val="003663C7"/>
    <w:rsid w:val="00371E24"/>
    <w:rsid w:val="00373723"/>
    <w:rsid w:val="003753DE"/>
    <w:rsid w:val="00380DF1"/>
    <w:rsid w:val="003822DA"/>
    <w:rsid w:val="003871D5"/>
    <w:rsid w:val="003B2189"/>
    <w:rsid w:val="003B52D6"/>
    <w:rsid w:val="003B7009"/>
    <w:rsid w:val="003B7717"/>
    <w:rsid w:val="003C07AC"/>
    <w:rsid w:val="003C13AD"/>
    <w:rsid w:val="003C7078"/>
    <w:rsid w:val="003D0A61"/>
    <w:rsid w:val="003D776D"/>
    <w:rsid w:val="003D7AFA"/>
    <w:rsid w:val="003E0BDF"/>
    <w:rsid w:val="003E11E0"/>
    <w:rsid w:val="003E2F66"/>
    <w:rsid w:val="003E3965"/>
    <w:rsid w:val="003E79CB"/>
    <w:rsid w:val="003F3C8F"/>
    <w:rsid w:val="003F47D2"/>
    <w:rsid w:val="003F5B94"/>
    <w:rsid w:val="004053E4"/>
    <w:rsid w:val="0041580F"/>
    <w:rsid w:val="00420066"/>
    <w:rsid w:val="00436C4A"/>
    <w:rsid w:val="0043799D"/>
    <w:rsid w:val="00442DC6"/>
    <w:rsid w:val="004466E8"/>
    <w:rsid w:val="00446AD4"/>
    <w:rsid w:val="00452D4A"/>
    <w:rsid w:val="004538E5"/>
    <w:rsid w:val="0045572C"/>
    <w:rsid w:val="004577E5"/>
    <w:rsid w:val="00460BEA"/>
    <w:rsid w:val="00467A03"/>
    <w:rsid w:val="00471837"/>
    <w:rsid w:val="00474495"/>
    <w:rsid w:val="00474AA7"/>
    <w:rsid w:val="004770F3"/>
    <w:rsid w:val="00484BA7"/>
    <w:rsid w:val="00486D39"/>
    <w:rsid w:val="00490630"/>
    <w:rsid w:val="00490C1F"/>
    <w:rsid w:val="00497187"/>
    <w:rsid w:val="004A26AC"/>
    <w:rsid w:val="004A6AA7"/>
    <w:rsid w:val="004B2CC8"/>
    <w:rsid w:val="004B2CDD"/>
    <w:rsid w:val="004B53EC"/>
    <w:rsid w:val="004C5E4E"/>
    <w:rsid w:val="004C646D"/>
    <w:rsid w:val="004D48ED"/>
    <w:rsid w:val="004D6DCC"/>
    <w:rsid w:val="004E0491"/>
    <w:rsid w:val="004E2124"/>
    <w:rsid w:val="004E2DF7"/>
    <w:rsid w:val="004E361C"/>
    <w:rsid w:val="004F5F25"/>
    <w:rsid w:val="0050554D"/>
    <w:rsid w:val="00506008"/>
    <w:rsid w:val="00520689"/>
    <w:rsid w:val="00526115"/>
    <w:rsid w:val="00526567"/>
    <w:rsid w:val="005323C5"/>
    <w:rsid w:val="005344D1"/>
    <w:rsid w:val="00534742"/>
    <w:rsid w:val="005360EB"/>
    <w:rsid w:val="00545D08"/>
    <w:rsid w:val="005535C4"/>
    <w:rsid w:val="00554A58"/>
    <w:rsid w:val="00555E5B"/>
    <w:rsid w:val="00566533"/>
    <w:rsid w:val="00574E55"/>
    <w:rsid w:val="00580F42"/>
    <w:rsid w:val="0058322D"/>
    <w:rsid w:val="00584F56"/>
    <w:rsid w:val="00596C8E"/>
    <w:rsid w:val="00596CCC"/>
    <w:rsid w:val="005B0DE8"/>
    <w:rsid w:val="005B1687"/>
    <w:rsid w:val="005B1D68"/>
    <w:rsid w:val="005B398D"/>
    <w:rsid w:val="005B788D"/>
    <w:rsid w:val="005C6519"/>
    <w:rsid w:val="005D263C"/>
    <w:rsid w:val="005D31EF"/>
    <w:rsid w:val="005D3289"/>
    <w:rsid w:val="005D5CD8"/>
    <w:rsid w:val="005D6E99"/>
    <w:rsid w:val="005D74B8"/>
    <w:rsid w:val="005E005B"/>
    <w:rsid w:val="005E2500"/>
    <w:rsid w:val="005E539D"/>
    <w:rsid w:val="005F0D64"/>
    <w:rsid w:val="005F3059"/>
    <w:rsid w:val="005F3C39"/>
    <w:rsid w:val="005F4D37"/>
    <w:rsid w:val="006013F1"/>
    <w:rsid w:val="00602DC4"/>
    <w:rsid w:val="00604F5E"/>
    <w:rsid w:val="00612086"/>
    <w:rsid w:val="00613BB9"/>
    <w:rsid w:val="0061785B"/>
    <w:rsid w:val="006218C5"/>
    <w:rsid w:val="00631ADC"/>
    <w:rsid w:val="00634467"/>
    <w:rsid w:val="006345CC"/>
    <w:rsid w:val="006364E4"/>
    <w:rsid w:val="00640427"/>
    <w:rsid w:val="00640862"/>
    <w:rsid w:val="00642B07"/>
    <w:rsid w:val="00644D5A"/>
    <w:rsid w:val="00645B3A"/>
    <w:rsid w:val="00646AF8"/>
    <w:rsid w:val="00647E1A"/>
    <w:rsid w:val="00652F2A"/>
    <w:rsid w:val="00657787"/>
    <w:rsid w:val="00660FD9"/>
    <w:rsid w:val="006612C0"/>
    <w:rsid w:val="00662B03"/>
    <w:rsid w:val="006631D8"/>
    <w:rsid w:val="00664397"/>
    <w:rsid w:val="0066701A"/>
    <w:rsid w:val="00667952"/>
    <w:rsid w:val="0067082F"/>
    <w:rsid w:val="006709BE"/>
    <w:rsid w:val="00672152"/>
    <w:rsid w:val="0067225A"/>
    <w:rsid w:val="00672880"/>
    <w:rsid w:val="00680C32"/>
    <w:rsid w:val="00693AD9"/>
    <w:rsid w:val="00694664"/>
    <w:rsid w:val="00695661"/>
    <w:rsid w:val="00696F65"/>
    <w:rsid w:val="006A02B0"/>
    <w:rsid w:val="006A3D11"/>
    <w:rsid w:val="006A4302"/>
    <w:rsid w:val="006A5151"/>
    <w:rsid w:val="006A55BF"/>
    <w:rsid w:val="006B364A"/>
    <w:rsid w:val="006B44E2"/>
    <w:rsid w:val="006B7F9E"/>
    <w:rsid w:val="006C5CB3"/>
    <w:rsid w:val="006C5FE7"/>
    <w:rsid w:val="006D35BB"/>
    <w:rsid w:val="006D724A"/>
    <w:rsid w:val="006E0462"/>
    <w:rsid w:val="006E236D"/>
    <w:rsid w:val="006F04F0"/>
    <w:rsid w:val="006F38E2"/>
    <w:rsid w:val="00711065"/>
    <w:rsid w:val="00715CD4"/>
    <w:rsid w:val="00725251"/>
    <w:rsid w:val="00726F03"/>
    <w:rsid w:val="00730766"/>
    <w:rsid w:val="0073469B"/>
    <w:rsid w:val="007356CF"/>
    <w:rsid w:val="00737E2D"/>
    <w:rsid w:val="00747DAD"/>
    <w:rsid w:val="007547AD"/>
    <w:rsid w:val="00756FBA"/>
    <w:rsid w:val="00761775"/>
    <w:rsid w:val="00761BA9"/>
    <w:rsid w:val="00765184"/>
    <w:rsid w:val="0077209E"/>
    <w:rsid w:val="00777B9E"/>
    <w:rsid w:val="00780F7A"/>
    <w:rsid w:val="00783C6A"/>
    <w:rsid w:val="00785BDC"/>
    <w:rsid w:val="007A1842"/>
    <w:rsid w:val="007A69EA"/>
    <w:rsid w:val="007A71D1"/>
    <w:rsid w:val="007A7FC2"/>
    <w:rsid w:val="007B1777"/>
    <w:rsid w:val="007C39DC"/>
    <w:rsid w:val="007C47AB"/>
    <w:rsid w:val="007C785F"/>
    <w:rsid w:val="007D0AD3"/>
    <w:rsid w:val="007D1441"/>
    <w:rsid w:val="007E037C"/>
    <w:rsid w:val="007E0678"/>
    <w:rsid w:val="007E486A"/>
    <w:rsid w:val="007E56C9"/>
    <w:rsid w:val="007E6B77"/>
    <w:rsid w:val="007E77F1"/>
    <w:rsid w:val="007F08F7"/>
    <w:rsid w:val="007F2375"/>
    <w:rsid w:val="007F3F84"/>
    <w:rsid w:val="00800533"/>
    <w:rsid w:val="00802DDC"/>
    <w:rsid w:val="008136C3"/>
    <w:rsid w:val="00817E0F"/>
    <w:rsid w:val="00820AE2"/>
    <w:rsid w:val="00823DCD"/>
    <w:rsid w:val="008269DD"/>
    <w:rsid w:val="008272D1"/>
    <w:rsid w:val="00833819"/>
    <w:rsid w:val="00836127"/>
    <w:rsid w:val="00837C83"/>
    <w:rsid w:val="00840893"/>
    <w:rsid w:val="00843E34"/>
    <w:rsid w:val="0084596D"/>
    <w:rsid w:val="00847ACD"/>
    <w:rsid w:val="00853220"/>
    <w:rsid w:val="00865873"/>
    <w:rsid w:val="008660D5"/>
    <w:rsid w:val="008671DE"/>
    <w:rsid w:val="008703B2"/>
    <w:rsid w:val="00874374"/>
    <w:rsid w:val="008747B5"/>
    <w:rsid w:val="00874819"/>
    <w:rsid w:val="008748B5"/>
    <w:rsid w:val="00884A16"/>
    <w:rsid w:val="0088797D"/>
    <w:rsid w:val="0089070B"/>
    <w:rsid w:val="008A327C"/>
    <w:rsid w:val="008A4B1C"/>
    <w:rsid w:val="008B14EE"/>
    <w:rsid w:val="008B47CD"/>
    <w:rsid w:val="008B4C29"/>
    <w:rsid w:val="008C038E"/>
    <w:rsid w:val="008C5AAB"/>
    <w:rsid w:val="008C7FBA"/>
    <w:rsid w:val="008D2C5A"/>
    <w:rsid w:val="008D65A0"/>
    <w:rsid w:val="008E2321"/>
    <w:rsid w:val="008E3BF5"/>
    <w:rsid w:val="008E3F6D"/>
    <w:rsid w:val="008E4F3F"/>
    <w:rsid w:val="008F132D"/>
    <w:rsid w:val="008F19E8"/>
    <w:rsid w:val="008F22E8"/>
    <w:rsid w:val="00900DE1"/>
    <w:rsid w:val="0090161B"/>
    <w:rsid w:val="0090214B"/>
    <w:rsid w:val="00904C82"/>
    <w:rsid w:val="00906305"/>
    <w:rsid w:val="009066B4"/>
    <w:rsid w:val="009073F3"/>
    <w:rsid w:val="00907AE6"/>
    <w:rsid w:val="009104E8"/>
    <w:rsid w:val="00913171"/>
    <w:rsid w:val="00914D2A"/>
    <w:rsid w:val="00917946"/>
    <w:rsid w:val="00923F74"/>
    <w:rsid w:val="00924E4D"/>
    <w:rsid w:val="00927735"/>
    <w:rsid w:val="00930D6F"/>
    <w:rsid w:val="00933E0C"/>
    <w:rsid w:val="009404E6"/>
    <w:rsid w:val="009405FB"/>
    <w:rsid w:val="009424F2"/>
    <w:rsid w:val="009508C0"/>
    <w:rsid w:val="0095123C"/>
    <w:rsid w:val="00962AB1"/>
    <w:rsid w:val="00971A33"/>
    <w:rsid w:val="00973612"/>
    <w:rsid w:val="00974640"/>
    <w:rsid w:val="009755DB"/>
    <w:rsid w:val="00976B84"/>
    <w:rsid w:val="00980932"/>
    <w:rsid w:val="00980FF6"/>
    <w:rsid w:val="00985349"/>
    <w:rsid w:val="009922D1"/>
    <w:rsid w:val="009966C6"/>
    <w:rsid w:val="00997BF2"/>
    <w:rsid w:val="009A1CB7"/>
    <w:rsid w:val="009A1F71"/>
    <w:rsid w:val="009B5F67"/>
    <w:rsid w:val="009B70E8"/>
    <w:rsid w:val="009B7BDF"/>
    <w:rsid w:val="009C3506"/>
    <w:rsid w:val="009D0CE3"/>
    <w:rsid w:val="009D3EFA"/>
    <w:rsid w:val="009D4940"/>
    <w:rsid w:val="009E13FF"/>
    <w:rsid w:val="009E1479"/>
    <w:rsid w:val="009E53FC"/>
    <w:rsid w:val="009E5FC2"/>
    <w:rsid w:val="009F0317"/>
    <w:rsid w:val="009F090A"/>
    <w:rsid w:val="009F38E2"/>
    <w:rsid w:val="00A00BC7"/>
    <w:rsid w:val="00A025B8"/>
    <w:rsid w:val="00A04B45"/>
    <w:rsid w:val="00A0510C"/>
    <w:rsid w:val="00A05123"/>
    <w:rsid w:val="00A110E3"/>
    <w:rsid w:val="00A17B32"/>
    <w:rsid w:val="00A23391"/>
    <w:rsid w:val="00A23E56"/>
    <w:rsid w:val="00A27F47"/>
    <w:rsid w:val="00A33D51"/>
    <w:rsid w:val="00A34F5D"/>
    <w:rsid w:val="00A36200"/>
    <w:rsid w:val="00A40A6B"/>
    <w:rsid w:val="00A54064"/>
    <w:rsid w:val="00A547CA"/>
    <w:rsid w:val="00A55537"/>
    <w:rsid w:val="00A56315"/>
    <w:rsid w:val="00A62941"/>
    <w:rsid w:val="00A64B69"/>
    <w:rsid w:val="00A705ED"/>
    <w:rsid w:val="00A70E33"/>
    <w:rsid w:val="00A76153"/>
    <w:rsid w:val="00A76EDD"/>
    <w:rsid w:val="00A8019F"/>
    <w:rsid w:val="00A809BC"/>
    <w:rsid w:val="00A85F41"/>
    <w:rsid w:val="00A87C9C"/>
    <w:rsid w:val="00A90C7C"/>
    <w:rsid w:val="00A9419F"/>
    <w:rsid w:val="00A96640"/>
    <w:rsid w:val="00A9765C"/>
    <w:rsid w:val="00A97A47"/>
    <w:rsid w:val="00AA14BC"/>
    <w:rsid w:val="00AB09A6"/>
    <w:rsid w:val="00AB2A13"/>
    <w:rsid w:val="00AB2B63"/>
    <w:rsid w:val="00AC128D"/>
    <w:rsid w:val="00AC17CA"/>
    <w:rsid w:val="00AC2263"/>
    <w:rsid w:val="00AC285F"/>
    <w:rsid w:val="00AC2929"/>
    <w:rsid w:val="00AC2F12"/>
    <w:rsid w:val="00AC64BE"/>
    <w:rsid w:val="00AD2567"/>
    <w:rsid w:val="00AD301D"/>
    <w:rsid w:val="00AE20FC"/>
    <w:rsid w:val="00AE3854"/>
    <w:rsid w:val="00AF088B"/>
    <w:rsid w:val="00AF7D83"/>
    <w:rsid w:val="00B01CBE"/>
    <w:rsid w:val="00B021E1"/>
    <w:rsid w:val="00B065C8"/>
    <w:rsid w:val="00B06DBE"/>
    <w:rsid w:val="00B0762D"/>
    <w:rsid w:val="00B113F9"/>
    <w:rsid w:val="00B118A2"/>
    <w:rsid w:val="00B346E6"/>
    <w:rsid w:val="00B34876"/>
    <w:rsid w:val="00B44E34"/>
    <w:rsid w:val="00B52D33"/>
    <w:rsid w:val="00B53E0A"/>
    <w:rsid w:val="00B600F7"/>
    <w:rsid w:val="00B6019C"/>
    <w:rsid w:val="00B6162C"/>
    <w:rsid w:val="00B626ED"/>
    <w:rsid w:val="00B6496F"/>
    <w:rsid w:val="00B706B6"/>
    <w:rsid w:val="00B70AB5"/>
    <w:rsid w:val="00B70FA0"/>
    <w:rsid w:val="00B71558"/>
    <w:rsid w:val="00B75F7C"/>
    <w:rsid w:val="00B811EB"/>
    <w:rsid w:val="00B82BB0"/>
    <w:rsid w:val="00B861A4"/>
    <w:rsid w:val="00B861CB"/>
    <w:rsid w:val="00B92D40"/>
    <w:rsid w:val="00B94EFE"/>
    <w:rsid w:val="00B971B2"/>
    <w:rsid w:val="00BA069B"/>
    <w:rsid w:val="00BA2D27"/>
    <w:rsid w:val="00BA3361"/>
    <w:rsid w:val="00BA38C5"/>
    <w:rsid w:val="00BA4811"/>
    <w:rsid w:val="00BA6BFC"/>
    <w:rsid w:val="00BB068B"/>
    <w:rsid w:val="00BC1919"/>
    <w:rsid w:val="00BC350F"/>
    <w:rsid w:val="00BD40FB"/>
    <w:rsid w:val="00BD5BC8"/>
    <w:rsid w:val="00BF2BBB"/>
    <w:rsid w:val="00BF64BC"/>
    <w:rsid w:val="00C00CF3"/>
    <w:rsid w:val="00C0386B"/>
    <w:rsid w:val="00C04CCF"/>
    <w:rsid w:val="00C243D4"/>
    <w:rsid w:val="00C27ADE"/>
    <w:rsid w:val="00C31B48"/>
    <w:rsid w:val="00C32999"/>
    <w:rsid w:val="00C33AB8"/>
    <w:rsid w:val="00C34794"/>
    <w:rsid w:val="00C37252"/>
    <w:rsid w:val="00C409AE"/>
    <w:rsid w:val="00C42A63"/>
    <w:rsid w:val="00C433A0"/>
    <w:rsid w:val="00C43B8E"/>
    <w:rsid w:val="00C47F11"/>
    <w:rsid w:val="00C50697"/>
    <w:rsid w:val="00C533A1"/>
    <w:rsid w:val="00C54E95"/>
    <w:rsid w:val="00C67EBC"/>
    <w:rsid w:val="00C74EE6"/>
    <w:rsid w:val="00C7589D"/>
    <w:rsid w:val="00C77D9A"/>
    <w:rsid w:val="00C80CDB"/>
    <w:rsid w:val="00C816A7"/>
    <w:rsid w:val="00C81DFB"/>
    <w:rsid w:val="00C823BD"/>
    <w:rsid w:val="00C91B42"/>
    <w:rsid w:val="00C91B9B"/>
    <w:rsid w:val="00C952C3"/>
    <w:rsid w:val="00C96AB8"/>
    <w:rsid w:val="00CA114D"/>
    <w:rsid w:val="00CA35D8"/>
    <w:rsid w:val="00CA5884"/>
    <w:rsid w:val="00CA5BD5"/>
    <w:rsid w:val="00CA7AB8"/>
    <w:rsid w:val="00CB19D6"/>
    <w:rsid w:val="00CC0ACA"/>
    <w:rsid w:val="00CC250B"/>
    <w:rsid w:val="00CC68FE"/>
    <w:rsid w:val="00CD439D"/>
    <w:rsid w:val="00CD465A"/>
    <w:rsid w:val="00CE0CB2"/>
    <w:rsid w:val="00CE125E"/>
    <w:rsid w:val="00CE1399"/>
    <w:rsid w:val="00CE15B8"/>
    <w:rsid w:val="00CE5035"/>
    <w:rsid w:val="00CE6246"/>
    <w:rsid w:val="00CE7E4F"/>
    <w:rsid w:val="00CF126E"/>
    <w:rsid w:val="00CF64B4"/>
    <w:rsid w:val="00D03B3A"/>
    <w:rsid w:val="00D04154"/>
    <w:rsid w:val="00D12B95"/>
    <w:rsid w:val="00D13B8E"/>
    <w:rsid w:val="00D13C31"/>
    <w:rsid w:val="00D1534B"/>
    <w:rsid w:val="00D15AB0"/>
    <w:rsid w:val="00D215EB"/>
    <w:rsid w:val="00D21BB0"/>
    <w:rsid w:val="00D227EF"/>
    <w:rsid w:val="00D24B63"/>
    <w:rsid w:val="00D313AD"/>
    <w:rsid w:val="00D31C17"/>
    <w:rsid w:val="00D31F24"/>
    <w:rsid w:val="00D362F4"/>
    <w:rsid w:val="00D40019"/>
    <w:rsid w:val="00D415ED"/>
    <w:rsid w:val="00D52DFC"/>
    <w:rsid w:val="00D54B62"/>
    <w:rsid w:val="00D57DB7"/>
    <w:rsid w:val="00D61CB9"/>
    <w:rsid w:val="00D643A1"/>
    <w:rsid w:val="00D66BAC"/>
    <w:rsid w:val="00D66E26"/>
    <w:rsid w:val="00D74F68"/>
    <w:rsid w:val="00D75276"/>
    <w:rsid w:val="00D808F3"/>
    <w:rsid w:val="00D80FCD"/>
    <w:rsid w:val="00D8213E"/>
    <w:rsid w:val="00D90BFB"/>
    <w:rsid w:val="00D93221"/>
    <w:rsid w:val="00D9434E"/>
    <w:rsid w:val="00DA15D1"/>
    <w:rsid w:val="00DA1D58"/>
    <w:rsid w:val="00DA294B"/>
    <w:rsid w:val="00DA2BB4"/>
    <w:rsid w:val="00DA49D9"/>
    <w:rsid w:val="00DA4C6C"/>
    <w:rsid w:val="00DA65E4"/>
    <w:rsid w:val="00DA6F82"/>
    <w:rsid w:val="00DB10BB"/>
    <w:rsid w:val="00DB2712"/>
    <w:rsid w:val="00DB2A3A"/>
    <w:rsid w:val="00DB6E2E"/>
    <w:rsid w:val="00DB7848"/>
    <w:rsid w:val="00DC15C0"/>
    <w:rsid w:val="00DC66C6"/>
    <w:rsid w:val="00DC72AC"/>
    <w:rsid w:val="00DD08F5"/>
    <w:rsid w:val="00DD2947"/>
    <w:rsid w:val="00DD36B2"/>
    <w:rsid w:val="00DE1EA4"/>
    <w:rsid w:val="00DE2F35"/>
    <w:rsid w:val="00DE763D"/>
    <w:rsid w:val="00DF478A"/>
    <w:rsid w:val="00E00FCE"/>
    <w:rsid w:val="00E01346"/>
    <w:rsid w:val="00E01AD7"/>
    <w:rsid w:val="00E0393A"/>
    <w:rsid w:val="00E06E2B"/>
    <w:rsid w:val="00E12798"/>
    <w:rsid w:val="00E12AB1"/>
    <w:rsid w:val="00E17736"/>
    <w:rsid w:val="00E239DD"/>
    <w:rsid w:val="00E24EA6"/>
    <w:rsid w:val="00E2529A"/>
    <w:rsid w:val="00E27A24"/>
    <w:rsid w:val="00E34BB0"/>
    <w:rsid w:val="00E41F4E"/>
    <w:rsid w:val="00E428DB"/>
    <w:rsid w:val="00E468C0"/>
    <w:rsid w:val="00E50C20"/>
    <w:rsid w:val="00E52E41"/>
    <w:rsid w:val="00E53307"/>
    <w:rsid w:val="00E575D9"/>
    <w:rsid w:val="00E57627"/>
    <w:rsid w:val="00E628EE"/>
    <w:rsid w:val="00E652DB"/>
    <w:rsid w:val="00E67412"/>
    <w:rsid w:val="00E72631"/>
    <w:rsid w:val="00E72F76"/>
    <w:rsid w:val="00E735AA"/>
    <w:rsid w:val="00E77E1D"/>
    <w:rsid w:val="00E92F6C"/>
    <w:rsid w:val="00E97425"/>
    <w:rsid w:val="00E97703"/>
    <w:rsid w:val="00EA0573"/>
    <w:rsid w:val="00EB167B"/>
    <w:rsid w:val="00EB5792"/>
    <w:rsid w:val="00EB6841"/>
    <w:rsid w:val="00EB727C"/>
    <w:rsid w:val="00EC0210"/>
    <w:rsid w:val="00EC4510"/>
    <w:rsid w:val="00EC4928"/>
    <w:rsid w:val="00EC6352"/>
    <w:rsid w:val="00EC72AE"/>
    <w:rsid w:val="00ED15C3"/>
    <w:rsid w:val="00ED608A"/>
    <w:rsid w:val="00EE16D8"/>
    <w:rsid w:val="00EE36CD"/>
    <w:rsid w:val="00EE4CAF"/>
    <w:rsid w:val="00EE7B3D"/>
    <w:rsid w:val="00EF2F7E"/>
    <w:rsid w:val="00EF466B"/>
    <w:rsid w:val="00EF7322"/>
    <w:rsid w:val="00F00E43"/>
    <w:rsid w:val="00F07CC8"/>
    <w:rsid w:val="00F137A3"/>
    <w:rsid w:val="00F20779"/>
    <w:rsid w:val="00F23421"/>
    <w:rsid w:val="00F35922"/>
    <w:rsid w:val="00F3769E"/>
    <w:rsid w:val="00F4595B"/>
    <w:rsid w:val="00F47207"/>
    <w:rsid w:val="00F63CDB"/>
    <w:rsid w:val="00F707CC"/>
    <w:rsid w:val="00F72239"/>
    <w:rsid w:val="00F80031"/>
    <w:rsid w:val="00F8368D"/>
    <w:rsid w:val="00F836E4"/>
    <w:rsid w:val="00F8531C"/>
    <w:rsid w:val="00F93103"/>
    <w:rsid w:val="00FA32E4"/>
    <w:rsid w:val="00FA3715"/>
    <w:rsid w:val="00FA4029"/>
    <w:rsid w:val="00FA6EF1"/>
    <w:rsid w:val="00FA7A76"/>
    <w:rsid w:val="00FB01F3"/>
    <w:rsid w:val="00FB0697"/>
    <w:rsid w:val="00FB310D"/>
    <w:rsid w:val="00FB6FB9"/>
    <w:rsid w:val="00FB7338"/>
    <w:rsid w:val="00FB760A"/>
    <w:rsid w:val="00FC0776"/>
    <w:rsid w:val="00FC2DD4"/>
    <w:rsid w:val="00FC416E"/>
    <w:rsid w:val="00FC56C7"/>
    <w:rsid w:val="00FC6B3E"/>
    <w:rsid w:val="00FD1367"/>
    <w:rsid w:val="00FD3C86"/>
    <w:rsid w:val="00FD40D5"/>
    <w:rsid w:val="00FD7758"/>
    <w:rsid w:val="00FD7D3B"/>
    <w:rsid w:val="00FE4A24"/>
    <w:rsid w:val="00FE6B94"/>
    <w:rsid w:val="00FF312A"/>
    <w:rsid w:val="00FF7677"/>
    <w:rsid w:val="01C9776B"/>
    <w:rsid w:val="028A0FB9"/>
    <w:rsid w:val="02972BBB"/>
    <w:rsid w:val="031B28FD"/>
    <w:rsid w:val="034C4326"/>
    <w:rsid w:val="04084E94"/>
    <w:rsid w:val="041B2DF6"/>
    <w:rsid w:val="04596149"/>
    <w:rsid w:val="04DF2C56"/>
    <w:rsid w:val="05056015"/>
    <w:rsid w:val="05164D8B"/>
    <w:rsid w:val="05292B76"/>
    <w:rsid w:val="05AA0F97"/>
    <w:rsid w:val="05E871DA"/>
    <w:rsid w:val="05F32708"/>
    <w:rsid w:val="05F5458B"/>
    <w:rsid w:val="06D04179"/>
    <w:rsid w:val="076C57AC"/>
    <w:rsid w:val="07800EBC"/>
    <w:rsid w:val="07C3370E"/>
    <w:rsid w:val="07FC2A4A"/>
    <w:rsid w:val="08B37CD3"/>
    <w:rsid w:val="08BE5434"/>
    <w:rsid w:val="08C14BFF"/>
    <w:rsid w:val="09075BC5"/>
    <w:rsid w:val="093C2AD7"/>
    <w:rsid w:val="09650CE9"/>
    <w:rsid w:val="098B35ED"/>
    <w:rsid w:val="0A6B50A2"/>
    <w:rsid w:val="0B114043"/>
    <w:rsid w:val="0B3350A5"/>
    <w:rsid w:val="0B7559D0"/>
    <w:rsid w:val="0BAD3B60"/>
    <w:rsid w:val="0BEC1A2B"/>
    <w:rsid w:val="0C0762ED"/>
    <w:rsid w:val="0C0B2DCE"/>
    <w:rsid w:val="0C52115D"/>
    <w:rsid w:val="0CA8183A"/>
    <w:rsid w:val="0CCC3D61"/>
    <w:rsid w:val="0D14422C"/>
    <w:rsid w:val="0DC252DA"/>
    <w:rsid w:val="0EE77E7E"/>
    <w:rsid w:val="0FD24C95"/>
    <w:rsid w:val="104D127B"/>
    <w:rsid w:val="104F54B1"/>
    <w:rsid w:val="110113ED"/>
    <w:rsid w:val="11BA2C63"/>
    <w:rsid w:val="12143165"/>
    <w:rsid w:val="12560E75"/>
    <w:rsid w:val="1282387D"/>
    <w:rsid w:val="12A11C8F"/>
    <w:rsid w:val="13826859"/>
    <w:rsid w:val="139102DC"/>
    <w:rsid w:val="13966B0E"/>
    <w:rsid w:val="1445324C"/>
    <w:rsid w:val="14662843"/>
    <w:rsid w:val="14C8312F"/>
    <w:rsid w:val="14F261E5"/>
    <w:rsid w:val="152E6430"/>
    <w:rsid w:val="15647E9C"/>
    <w:rsid w:val="15875CAF"/>
    <w:rsid w:val="15C433EB"/>
    <w:rsid w:val="15DF3CFF"/>
    <w:rsid w:val="160B3B4A"/>
    <w:rsid w:val="176E1232"/>
    <w:rsid w:val="177E3CE6"/>
    <w:rsid w:val="178D5524"/>
    <w:rsid w:val="17A778C3"/>
    <w:rsid w:val="17D43FDD"/>
    <w:rsid w:val="185E7220"/>
    <w:rsid w:val="18E33E49"/>
    <w:rsid w:val="196C73C3"/>
    <w:rsid w:val="19BA3CC8"/>
    <w:rsid w:val="19C233D5"/>
    <w:rsid w:val="1A1932B2"/>
    <w:rsid w:val="1A252B90"/>
    <w:rsid w:val="1A4179BD"/>
    <w:rsid w:val="1ADE2A03"/>
    <w:rsid w:val="1AF95CFB"/>
    <w:rsid w:val="1B031792"/>
    <w:rsid w:val="1B1B1998"/>
    <w:rsid w:val="1B5F42C3"/>
    <w:rsid w:val="1C1938D0"/>
    <w:rsid w:val="1C4D439B"/>
    <w:rsid w:val="1D8E6523"/>
    <w:rsid w:val="1DB74921"/>
    <w:rsid w:val="1E1B6544"/>
    <w:rsid w:val="1EFB3633"/>
    <w:rsid w:val="1F04382E"/>
    <w:rsid w:val="1F4F2140"/>
    <w:rsid w:val="1F743D70"/>
    <w:rsid w:val="200C7F64"/>
    <w:rsid w:val="20284C03"/>
    <w:rsid w:val="206D498A"/>
    <w:rsid w:val="20911BA5"/>
    <w:rsid w:val="219512B7"/>
    <w:rsid w:val="21E131EE"/>
    <w:rsid w:val="21F845E9"/>
    <w:rsid w:val="221F24CE"/>
    <w:rsid w:val="2227607E"/>
    <w:rsid w:val="2240425D"/>
    <w:rsid w:val="224C7540"/>
    <w:rsid w:val="22586F7A"/>
    <w:rsid w:val="225F14A3"/>
    <w:rsid w:val="228F7D1F"/>
    <w:rsid w:val="22EB64EC"/>
    <w:rsid w:val="23C92AD0"/>
    <w:rsid w:val="24653A3D"/>
    <w:rsid w:val="24B15000"/>
    <w:rsid w:val="250C26DC"/>
    <w:rsid w:val="254422E7"/>
    <w:rsid w:val="25846BAD"/>
    <w:rsid w:val="25C355C2"/>
    <w:rsid w:val="269E7FEF"/>
    <w:rsid w:val="26AF74C5"/>
    <w:rsid w:val="26C03672"/>
    <w:rsid w:val="2744196A"/>
    <w:rsid w:val="276F4679"/>
    <w:rsid w:val="27F87B17"/>
    <w:rsid w:val="28194D1C"/>
    <w:rsid w:val="2888639C"/>
    <w:rsid w:val="294B004D"/>
    <w:rsid w:val="2A4440BC"/>
    <w:rsid w:val="2BE153CC"/>
    <w:rsid w:val="2C5822DE"/>
    <w:rsid w:val="2C694AD0"/>
    <w:rsid w:val="2CF01C68"/>
    <w:rsid w:val="2D890CD5"/>
    <w:rsid w:val="2F314BDE"/>
    <w:rsid w:val="2F652020"/>
    <w:rsid w:val="2F735AB9"/>
    <w:rsid w:val="30D31D73"/>
    <w:rsid w:val="310206CE"/>
    <w:rsid w:val="3167740F"/>
    <w:rsid w:val="31A9129E"/>
    <w:rsid w:val="323D60E8"/>
    <w:rsid w:val="3256760C"/>
    <w:rsid w:val="327D738D"/>
    <w:rsid w:val="333117EF"/>
    <w:rsid w:val="33C6636D"/>
    <w:rsid w:val="33CA11DD"/>
    <w:rsid w:val="33EA4DC4"/>
    <w:rsid w:val="34262D34"/>
    <w:rsid w:val="346A7070"/>
    <w:rsid w:val="3478196E"/>
    <w:rsid w:val="367A31B9"/>
    <w:rsid w:val="367E579E"/>
    <w:rsid w:val="368D0D05"/>
    <w:rsid w:val="37036F85"/>
    <w:rsid w:val="37F93A46"/>
    <w:rsid w:val="38051954"/>
    <w:rsid w:val="386D4429"/>
    <w:rsid w:val="38816201"/>
    <w:rsid w:val="390B3834"/>
    <w:rsid w:val="39532B0A"/>
    <w:rsid w:val="3AC5201E"/>
    <w:rsid w:val="3BDE60A2"/>
    <w:rsid w:val="3BE7476F"/>
    <w:rsid w:val="3C066893"/>
    <w:rsid w:val="3C1B3F78"/>
    <w:rsid w:val="3D776089"/>
    <w:rsid w:val="3DCE64E8"/>
    <w:rsid w:val="3E003832"/>
    <w:rsid w:val="3E480072"/>
    <w:rsid w:val="3ED277BC"/>
    <w:rsid w:val="3F7E4F18"/>
    <w:rsid w:val="3F962C13"/>
    <w:rsid w:val="40377E4F"/>
    <w:rsid w:val="4076221F"/>
    <w:rsid w:val="40A77D8A"/>
    <w:rsid w:val="40B94601"/>
    <w:rsid w:val="41A57351"/>
    <w:rsid w:val="42104ABC"/>
    <w:rsid w:val="422D3D5B"/>
    <w:rsid w:val="42431074"/>
    <w:rsid w:val="42A91BF8"/>
    <w:rsid w:val="42CB3630"/>
    <w:rsid w:val="42F2024A"/>
    <w:rsid w:val="436D45A0"/>
    <w:rsid w:val="437766B8"/>
    <w:rsid w:val="43825DC3"/>
    <w:rsid w:val="43957DEF"/>
    <w:rsid w:val="44297D6B"/>
    <w:rsid w:val="450014B0"/>
    <w:rsid w:val="4576059F"/>
    <w:rsid w:val="45D97294"/>
    <w:rsid w:val="4648153D"/>
    <w:rsid w:val="46E06DB9"/>
    <w:rsid w:val="47697C71"/>
    <w:rsid w:val="4893675B"/>
    <w:rsid w:val="48985DE9"/>
    <w:rsid w:val="489A7254"/>
    <w:rsid w:val="498472BC"/>
    <w:rsid w:val="49BD6B72"/>
    <w:rsid w:val="4A186F12"/>
    <w:rsid w:val="4A296BD1"/>
    <w:rsid w:val="4A6360E7"/>
    <w:rsid w:val="4AA71024"/>
    <w:rsid w:val="4B39760E"/>
    <w:rsid w:val="4B7A6DA6"/>
    <w:rsid w:val="4BBF0A37"/>
    <w:rsid w:val="4C181F88"/>
    <w:rsid w:val="4CEE37D7"/>
    <w:rsid w:val="4E461F82"/>
    <w:rsid w:val="4E4B1BDD"/>
    <w:rsid w:val="4ECA231F"/>
    <w:rsid w:val="4F074D38"/>
    <w:rsid w:val="4F947015"/>
    <w:rsid w:val="4FBC41CA"/>
    <w:rsid w:val="4FEE1A22"/>
    <w:rsid w:val="50496595"/>
    <w:rsid w:val="504B1815"/>
    <w:rsid w:val="50D14C66"/>
    <w:rsid w:val="51850EFC"/>
    <w:rsid w:val="51C47E69"/>
    <w:rsid w:val="521B635F"/>
    <w:rsid w:val="52566E83"/>
    <w:rsid w:val="52EF0766"/>
    <w:rsid w:val="531871CA"/>
    <w:rsid w:val="547C40EB"/>
    <w:rsid w:val="54F004EA"/>
    <w:rsid w:val="56364FA6"/>
    <w:rsid w:val="563A29C2"/>
    <w:rsid w:val="564F740C"/>
    <w:rsid w:val="5705234D"/>
    <w:rsid w:val="57174C30"/>
    <w:rsid w:val="57D071FA"/>
    <w:rsid w:val="580C08E9"/>
    <w:rsid w:val="590B5248"/>
    <w:rsid w:val="597F3D83"/>
    <w:rsid w:val="5A646AAE"/>
    <w:rsid w:val="5AB539CD"/>
    <w:rsid w:val="5B323543"/>
    <w:rsid w:val="5BB95DEA"/>
    <w:rsid w:val="5C58518D"/>
    <w:rsid w:val="5CD74C5D"/>
    <w:rsid w:val="5D2B550E"/>
    <w:rsid w:val="5E3E2B7A"/>
    <w:rsid w:val="5ECA3194"/>
    <w:rsid w:val="5F145780"/>
    <w:rsid w:val="5F405256"/>
    <w:rsid w:val="5F536565"/>
    <w:rsid w:val="5FF71F3D"/>
    <w:rsid w:val="601A2F11"/>
    <w:rsid w:val="603A33F3"/>
    <w:rsid w:val="603C795C"/>
    <w:rsid w:val="60995A81"/>
    <w:rsid w:val="60C31F5A"/>
    <w:rsid w:val="61823CAC"/>
    <w:rsid w:val="618D582F"/>
    <w:rsid w:val="61BE6B9A"/>
    <w:rsid w:val="62250B29"/>
    <w:rsid w:val="62EB0035"/>
    <w:rsid w:val="632D0565"/>
    <w:rsid w:val="63342FA5"/>
    <w:rsid w:val="633C5870"/>
    <w:rsid w:val="63404A01"/>
    <w:rsid w:val="634E5F03"/>
    <w:rsid w:val="638A2578"/>
    <w:rsid w:val="63BF6A96"/>
    <w:rsid w:val="63E33D14"/>
    <w:rsid w:val="63F077DB"/>
    <w:rsid w:val="65384A7A"/>
    <w:rsid w:val="65BD75E9"/>
    <w:rsid w:val="65EB4D86"/>
    <w:rsid w:val="66233BE6"/>
    <w:rsid w:val="67034D41"/>
    <w:rsid w:val="673F6908"/>
    <w:rsid w:val="6748599F"/>
    <w:rsid w:val="676E17BD"/>
    <w:rsid w:val="67C07D56"/>
    <w:rsid w:val="68A82A2D"/>
    <w:rsid w:val="68E44FF7"/>
    <w:rsid w:val="692C7322"/>
    <w:rsid w:val="69A906F3"/>
    <w:rsid w:val="69F438CD"/>
    <w:rsid w:val="6A1C1209"/>
    <w:rsid w:val="6A5D781E"/>
    <w:rsid w:val="6AE24D44"/>
    <w:rsid w:val="6AE828F8"/>
    <w:rsid w:val="6B232043"/>
    <w:rsid w:val="6B3956D2"/>
    <w:rsid w:val="6BDB483D"/>
    <w:rsid w:val="6C4444C2"/>
    <w:rsid w:val="6C47269B"/>
    <w:rsid w:val="6CAD47A9"/>
    <w:rsid w:val="6CDB0B22"/>
    <w:rsid w:val="6D381CF4"/>
    <w:rsid w:val="6D535020"/>
    <w:rsid w:val="6D580C4A"/>
    <w:rsid w:val="6DA07771"/>
    <w:rsid w:val="6E0A0B89"/>
    <w:rsid w:val="6EC65ABD"/>
    <w:rsid w:val="6ECD5432"/>
    <w:rsid w:val="6EEC7BCD"/>
    <w:rsid w:val="6F896193"/>
    <w:rsid w:val="6FBB1974"/>
    <w:rsid w:val="6FCE7E1D"/>
    <w:rsid w:val="6FE40A31"/>
    <w:rsid w:val="70206610"/>
    <w:rsid w:val="707069B1"/>
    <w:rsid w:val="70CD2B77"/>
    <w:rsid w:val="710242FE"/>
    <w:rsid w:val="71217515"/>
    <w:rsid w:val="71EE2295"/>
    <w:rsid w:val="72A42490"/>
    <w:rsid w:val="735367B1"/>
    <w:rsid w:val="7367330B"/>
    <w:rsid w:val="73A4600C"/>
    <w:rsid w:val="741F2EB8"/>
    <w:rsid w:val="74515DAA"/>
    <w:rsid w:val="745F4920"/>
    <w:rsid w:val="74B062EB"/>
    <w:rsid w:val="74DF190E"/>
    <w:rsid w:val="74E953BD"/>
    <w:rsid w:val="755A7572"/>
    <w:rsid w:val="78557C12"/>
    <w:rsid w:val="7AAB20A7"/>
    <w:rsid w:val="7B3759AD"/>
    <w:rsid w:val="7B7D305A"/>
    <w:rsid w:val="7B875BD4"/>
    <w:rsid w:val="7BB435FC"/>
    <w:rsid w:val="7BC81EB4"/>
    <w:rsid w:val="7D3830E5"/>
    <w:rsid w:val="7D97740B"/>
    <w:rsid w:val="7D98116C"/>
    <w:rsid w:val="7E1649FE"/>
    <w:rsid w:val="7E166B94"/>
    <w:rsid w:val="7E414B3D"/>
    <w:rsid w:val="7EF0138C"/>
    <w:rsid w:val="7F4B05CC"/>
    <w:rsid w:val="7F5E496A"/>
    <w:rsid w:val="7F7E4805"/>
    <w:rsid w:val="7F7E6436"/>
    <w:rsid w:val="7F9A21FF"/>
    <w:rsid w:val="7FD802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2">
    <w:name w:val="heading 4"/>
    <w:basedOn w:val="1"/>
    <w:next w:val="1"/>
    <w:qFormat/>
    <w:uiPriority w:val="9"/>
    <w:pPr>
      <w:keepNext/>
      <w:keepLines/>
      <w:spacing w:before="280" w:after="290" w:line="376" w:lineRule="auto"/>
      <w:outlineLvl w:val="3"/>
    </w:pPr>
    <w:rPr>
      <w:rFonts w:ascii="等线 Light" w:hAnsi="等线 Light" w:eastAsia="等线 Light"/>
      <w:b/>
      <w:bCs/>
      <w:kern w:val="0"/>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26"/>
    <w:unhideWhenUsed/>
    <w:qFormat/>
    <w:uiPriority w:val="0"/>
    <w:pPr>
      <w:ind w:firstLine="420" w:firstLineChars="200"/>
    </w:pPr>
  </w:style>
  <w:style w:type="paragraph" w:styleId="5">
    <w:name w:val="Document Map"/>
    <w:basedOn w:val="1"/>
    <w:link w:val="32"/>
    <w:qFormat/>
    <w:uiPriority w:val="0"/>
    <w:rPr>
      <w:rFonts w:ascii="宋体"/>
      <w:sz w:val="18"/>
      <w:szCs w:val="18"/>
    </w:rPr>
  </w:style>
  <w:style w:type="paragraph" w:styleId="6">
    <w:name w:val="Body Text 3"/>
    <w:basedOn w:val="1"/>
    <w:qFormat/>
    <w:uiPriority w:val="0"/>
    <w:pPr>
      <w:jc w:val="center"/>
    </w:pPr>
    <w:rPr>
      <w:rFonts w:eastAsia="黑体"/>
      <w:sz w:val="72"/>
    </w:rPr>
  </w:style>
  <w:style w:type="paragraph" w:styleId="7">
    <w:name w:val="Body Text"/>
    <w:basedOn w:val="1"/>
    <w:link w:val="30"/>
    <w:qFormat/>
    <w:uiPriority w:val="0"/>
    <w:pPr>
      <w:spacing w:after="120"/>
    </w:pPr>
  </w:style>
  <w:style w:type="paragraph" w:styleId="8">
    <w:name w:val="Body Text Indent"/>
    <w:basedOn w:val="1"/>
    <w:qFormat/>
    <w:uiPriority w:val="0"/>
    <w:pPr>
      <w:ind w:left="420" w:leftChars="200"/>
    </w:pPr>
  </w:style>
  <w:style w:type="paragraph" w:styleId="9">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0">
    <w:name w:val="Plain Text"/>
    <w:basedOn w:val="1"/>
    <w:link w:val="27"/>
    <w:qFormat/>
    <w:uiPriority w:val="99"/>
    <w:rPr>
      <w:rFonts w:ascii="宋体" w:hAnsi="Courier New"/>
      <w:szCs w:val="20"/>
    </w:rPr>
  </w:style>
  <w:style w:type="paragraph" w:styleId="11">
    <w:name w:val="Date"/>
    <w:basedOn w:val="1"/>
    <w:next w:val="1"/>
    <w:link w:val="37"/>
    <w:qFormat/>
    <w:uiPriority w:val="0"/>
    <w:pPr>
      <w:ind w:left="100" w:leftChars="2500"/>
    </w:pPr>
  </w:style>
  <w:style w:type="paragraph" w:styleId="12">
    <w:name w:val="Body Text Indent 2"/>
    <w:basedOn w:val="1"/>
    <w:qFormat/>
    <w:uiPriority w:val="0"/>
    <w:pPr>
      <w:tabs>
        <w:tab w:val="left" w:pos="9741"/>
      </w:tabs>
      <w:ind w:right="-2" w:rightChars="-1" w:firstLine="540"/>
    </w:pPr>
    <w:rPr>
      <w:rFonts w:eastAsia="仿宋_GB2312"/>
      <w:sz w:val="28"/>
    </w:rPr>
  </w:style>
  <w:style w:type="paragraph" w:styleId="13">
    <w:name w:val="Balloon Text"/>
    <w:basedOn w:val="1"/>
    <w:link w:val="29"/>
    <w:qFormat/>
    <w:uiPriority w:val="0"/>
    <w:rPr>
      <w:sz w:val="18"/>
      <w:szCs w:val="18"/>
    </w:rPr>
  </w:style>
  <w:style w:type="paragraph" w:styleId="14">
    <w:name w:val="footer"/>
    <w:basedOn w:val="1"/>
    <w:link w:val="39"/>
    <w:qFormat/>
    <w:uiPriority w:val="99"/>
    <w:pPr>
      <w:tabs>
        <w:tab w:val="center" w:pos="4153"/>
        <w:tab w:val="right" w:pos="8306"/>
      </w:tabs>
      <w:snapToGrid w:val="0"/>
      <w:jc w:val="left"/>
    </w:pPr>
    <w:rPr>
      <w:sz w:val="18"/>
      <w:szCs w:val="18"/>
    </w:rPr>
  </w:style>
  <w:style w:type="paragraph" w:styleId="15">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7">
    <w:name w:val="Body Text Indent 3"/>
    <w:basedOn w:val="1"/>
    <w:qFormat/>
    <w:uiPriority w:val="0"/>
    <w:pPr>
      <w:ind w:firstLine="435"/>
    </w:pPr>
    <w:rPr>
      <w:rFonts w:ascii="仿宋_GB2312" w:hAnsi="宋体" w:eastAsia="仿宋_GB2312"/>
      <w:sz w:val="28"/>
    </w:rPr>
  </w:style>
  <w:style w:type="paragraph" w:styleId="18">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9">
    <w:name w:val="Normal (Web)"/>
    <w:basedOn w:val="1"/>
    <w:unhideWhenUsed/>
    <w:qFormat/>
    <w:uiPriority w:val="0"/>
    <w:pPr>
      <w:widowControl/>
      <w:spacing w:before="100" w:beforeAutospacing="1" w:after="100" w:afterAutospacing="1"/>
      <w:jc w:val="left"/>
    </w:pPr>
    <w:rPr>
      <w:rFonts w:ascii="宋体" w:hAnsi="宋体" w:cs="宋体"/>
      <w:kern w:val="0"/>
      <w:sz w:val="18"/>
      <w:szCs w:val="18"/>
    </w:rPr>
  </w:style>
  <w:style w:type="table" w:styleId="21">
    <w:name w:val="Table Grid"/>
    <w:basedOn w:val="2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Hyperlink"/>
    <w:qFormat/>
    <w:uiPriority w:val="0"/>
    <w:rPr>
      <w:color w:val="0000FF"/>
      <w:u w:val="single"/>
    </w:rPr>
  </w:style>
  <w:style w:type="paragraph" w:customStyle="1" w:styleId="24">
    <w:name w:val="正文1"/>
    <w:link w:val="34"/>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25">
    <w:name w:val="普通正文"/>
    <w:basedOn w:val="1"/>
    <w:link w:val="33"/>
    <w:qFormat/>
    <w:uiPriority w:val="0"/>
    <w:pPr>
      <w:adjustRightInd w:val="0"/>
      <w:spacing w:line="360" w:lineRule="auto"/>
      <w:ind w:firstLine="480"/>
      <w:jc w:val="left"/>
      <w:textAlignment w:val="baseline"/>
    </w:pPr>
    <w:rPr>
      <w:rFonts w:ascii="Arial" w:hAnsi="Arial"/>
      <w:kern w:val="0"/>
      <w:sz w:val="24"/>
    </w:rPr>
  </w:style>
  <w:style w:type="character" w:customStyle="1" w:styleId="26">
    <w:name w:val="正文缩进 Char"/>
    <w:link w:val="4"/>
    <w:qFormat/>
    <w:uiPriority w:val="0"/>
    <w:rPr>
      <w:kern w:val="2"/>
      <w:sz w:val="21"/>
      <w:szCs w:val="24"/>
    </w:rPr>
  </w:style>
  <w:style w:type="character" w:customStyle="1" w:styleId="27">
    <w:name w:val="纯文本 Char"/>
    <w:basedOn w:val="22"/>
    <w:link w:val="10"/>
    <w:qFormat/>
    <w:uiPriority w:val="99"/>
    <w:rPr>
      <w:rFonts w:ascii="宋体" w:hAnsi="Courier New"/>
      <w:kern w:val="2"/>
      <w:sz w:val="21"/>
    </w:rPr>
  </w:style>
  <w:style w:type="paragraph" w:styleId="28">
    <w:name w:val="List Paragraph"/>
    <w:basedOn w:val="1"/>
    <w:unhideWhenUsed/>
    <w:qFormat/>
    <w:uiPriority w:val="99"/>
    <w:pPr>
      <w:ind w:firstLine="420" w:firstLineChars="200"/>
    </w:pPr>
  </w:style>
  <w:style w:type="character" w:customStyle="1" w:styleId="29">
    <w:name w:val="批注框文本 Char"/>
    <w:basedOn w:val="22"/>
    <w:link w:val="13"/>
    <w:qFormat/>
    <w:uiPriority w:val="0"/>
    <w:rPr>
      <w:kern w:val="2"/>
      <w:sz w:val="18"/>
      <w:szCs w:val="18"/>
    </w:rPr>
  </w:style>
  <w:style w:type="character" w:customStyle="1" w:styleId="30">
    <w:name w:val="正文文本 Char"/>
    <w:basedOn w:val="22"/>
    <w:link w:val="7"/>
    <w:qFormat/>
    <w:uiPriority w:val="0"/>
    <w:rPr>
      <w:kern w:val="2"/>
      <w:sz w:val="21"/>
      <w:szCs w:val="24"/>
    </w:rPr>
  </w:style>
  <w:style w:type="paragraph" w:customStyle="1" w:styleId="31">
    <w:name w:val="_Style 4"/>
    <w:basedOn w:val="5"/>
    <w:qFormat/>
    <w:uiPriority w:val="0"/>
    <w:pPr>
      <w:shd w:val="clear" w:color="auto" w:fill="000080"/>
    </w:pPr>
    <w:rPr>
      <w:rFonts w:ascii="Tahoma" w:hAnsi="Tahoma"/>
      <w:sz w:val="24"/>
      <w:szCs w:val="24"/>
    </w:rPr>
  </w:style>
  <w:style w:type="character" w:customStyle="1" w:styleId="32">
    <w:name w:val="文档结构图 Char"/>
    <w:basedOn w:val="22"/>
    <w:link w:val="5"/>
    <w:qFormat/>
    <w:uiPriority w:val="0"/>
    <w:rPr>
      <w:rFonts w:ascii="宋体"/>
      <w:kern w:val="2"/>
      <w:sz w:val="18"/>
      <w:szCs w:val="18"/>
    </w:rPr>
  </w:style>
  <w:style w:type="character" w:customStyle="1" w:styleId="33">
    <w:name w:val="普通正文 Char"/>
    <w:link w:val="25"/>
    <w:qFormat/>
    <w:uiPriority w:val="0"/>
    <w:rPr>
      <w:rFonts w:ascii="Arial" w:hAnsi="Arial"/>
      <w:sz w:val="24"/>
      <w:szCs w:val="24"/>
    </w:rPr>
  </w:style>
  <w:style w:type="character" w:customStyle="1" w:styleId="34">
    <w:name w:val="正文1 Char"/>
    <w:link w:val="24"/>
    <w:qFormat/>
    <w:uiPriority w:val="0"/>
    <w:rPr>
      <w:rFonts w:eastAsia="Adobe 仿宋 Std R"/>
      <w:kern w:val="2"/>
      <w:sz w:val="21"/>
      <w:szCs w:val="21"/>
    </w:rPr>
  </w:style>
  <w:style w:type="character" w:customStyle="1" w:styleId="35">
    <w:name w:val="标题 1 Char"/>
    <w:basedOn w:val="22"/>
    <w:link w:val="3"/>
    <w:qFormat/>
    <w:uiPriority w:val="0"/>
    <w:rPr>
      <w:b/>
      <w:bCs/>
      <w:kern w:val="44"/>
      <w:sz w:val="44"/>
      <w:szCs w:val="44"/>
    </w:rPr>
  </w:style>
  <w:style w:type="paragraph" w:customStyle="1" w:styleId="36">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37">
    <w:name w:val="日期 Char"/>
    <w:basedOn w:val="22"/>
    <w:link w:val="11"/>
    <w:qFormat/>
    <w:uiPriority w:val="0"/>
    <w:rPr>
      <w:kern w:val="2"/>
      <w:sz w:val="21"/>
      <w:szCs w:val="24"/>
    </w:rPr>
  </w:style>
  <w:style w:type="paragraph" w:customStyle="1" w:styleId="38">
    <w:name w:val="Char1"/>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39">
    <w:name w:val="页脚 Char"/>
    <w:link w:val="14"/>
    <w:qFormat/>
    <w:uiPriority w:val="99"/>
    <w:rPr>
      <w:kern w:val="2"/>
      <w:sz w:val="18"/>
      <w:szCs w:val="18"/>
    </w:rPr>
  </w:style>
  <w:style w:type="character" w:customStyle="1" w:styleId="40">
    <w:name w:val="页眉 Char"/>
    <w:link w:val="15"/>
    <w:qFormat/>
    <w:uiPriority w:val="99"/>
    <w:rPr>
      <w:kern w:val="2"/>
      <w:sz w:val="18"/>
      <w:szCs w:val="18"/>
    </w:rPr>
  </w:style>
  <w:style w:type="paragraph" w:customStyle="1" w:styleId="41">
    <w:name w:val="Default"/>
    <w:qFormat/>
    <w:uiPriority w:val="0"/>
    <w:pPr>
      <w:widowControl w:val="0"/>
      <w:autoSpaceDE w:val="0"/>
      <w:autoSpaceDN w:val="0"/>
      <w:adjustRightInd w:val="0"/>
    </w:pPr>
    <w:rPr>
      <w:rFonts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156D38-384C-46B8-9B83-2F73F448644B}">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1</Pages>
  <Words>5154</Words>
  <Characters>29384</Characters>
  <Lines>244</Lines>
  <Paragraphs>68</Paragraphs>
  <TotalTime>18</TotalTime>
  <ScaleCrop>false</ScaleCrop>
  <LinksUpToDate>false</LinksUpToDate>
  <CharactersWithSpaces>34470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2019-12-25T06:29:00Z</dcterms:created>
  <dc:creator>Administrator</dc:creator>
  <cp:lastModifiedBy>Administrator</cp:lastModifiedBy>
  <cp:lastPrinted>2020-01-12T09:40:00Z</cp:lastPrinted>
  <dcterms:modified xsi:type="dcterms:W3CDTF">2020-01-20T05:08:14Z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